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新疆喀什地区莎车县医疗保障局2019年度部门决算公开说明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贯彻落实国家和自治区医疗保险、生育保险、人身意外伤害保险、医疗帮扶等医疗保障制度；落实自治区、地区医疗保障制度的政策、规划和标准及地区医疗保险、生育保险、大病保险、大额医疗补助、公务员医疗补助、企事业单位补充医疗保险、长期护理保险、医疗帮扶、离休人员和优抚对象医疗保障等政策、管理办法。</w:t>
      </w:r>
    </w:p>
    <w:p>
      <w:pPr>
        <w:ind w:firstLine="480"/>
        <w:jc w:val="both"/>
      </w:pPr>
      <w:r>
        <w:rPr>
          <w:rFonts w:ascii="仿宋_GB2312" w:hAnsi="仿宋_GB2312" w:cs="仿宋_GB2312" w:eastAsia="仿宋_GB2312"/>
          <w:b w:val="false"/>
          <w:sz w:val="32"/>
        </w:rPr>
        <w:t>2、贯彻落实医疗保障基金监督管理办法，建立健全医疗保障基金安全防控机制，承担推进医疗保障基金支付方式改革工作，编制全县医疗保障基金预决算草案。</w:t>
      </w:r>
    </w:p>
    <w:p>
      <w:pPr>
        <w:ind w:firstLine="480"/>
        <w:jc w:val="both"/>
      </w:pPr>
      <w:r>
        <w:rPr>
          <w:rFonts w:ascii="仿宋_GB2312" w:hAnsi="仿宋_GB2312" w:cs="仿宋_GB2312" w:eastAsia="仿宋_GB2312"/>
          <w:b w:val="false"/>
          <w:sz w:val="32"/>
        </w:rPr>
        <w:t>3、组织实施地区医疗保障筹资和待遇政策、动态调整和区域调剂平衡机制，严格执行城乡医疗保障待遇标准及待遇调整机制。</w:t>
      </w:r>
    </w:p>
    <w:p>
      <w:pPr>
        <w:ind w:firstLine="480"/>
        <w:jc w:val="both"/>
      </w:pPr>
      <w:r>
        <w:rPr>
          <w:rFonts w:ascii="仿宋_GB2312" w:hAnsi="仿宋_GB2312" w:cs="仿宋_GB2312" w:eastAsia="仿宋_GB2312"/>
          <w:b w:val="false"/>
          <w:sz w:val="32"/>
        </w:rPr>
        <w:t>4、贯彻落实国家、自治区药品、医用耗材价格和医疗服务项目、医疗服务设施收费等政策并监督实施，执行自治区制定的药品、医用耗材的招标采购政策并监督实施，落实医保支付医药服务价格合理确定和动态调整机制，建立医药服务价格信息监测和信息发布制度。</w:t>
      </w:r>
    </w:p>
    <w:p>
      <w:pPr>
        <w:ind w:firstLine="480"/>
        <w:jc w:val="both"/>
      </w:pPr>
      <w:r>
        <w:rPr>
          <w:rFonts w:ascii="仿宋_GB2312" w:hAnsi="仿宋_GB2312" w:cs="仿宋_GB2312" w:eastAsia="仿宋_GB2312"/>
          <w:b w:val="false"/>
          <w:sz w:val="32"/>
        </w:rPr>
        <w:t>5、贯彻落实国家、自治区药品、医用耗材、医疗服务项目、医疗服务设施等医保目录和支付标准。</w:t>
      </w:r>
    </w:p>
    <w:p>
      <w:pPr>
        <w:ind w:firstLine="480"/>
        <w:jc w:val="both"/>
      </w:pPr>
      <w:r>
        <w:rPr>
          <w:rFonts w:ascii="仿宋_GB2312" w:hAnsi="仿宋_GB2312" w:cs="仿宋_GB2312" w:eastAsia="仿宋_GB2312"/>
          <w:b w:val="false"/>
          <w:sz w:val="32"/>
        </w:rPr>
        <w:t>6、制定定点医药机构协议和支付管理办法并组织实施，建立健全医疗保障信用评价体系和信息披露制度，监督管理纳入医保范围内的医疗服务行为和医疗费用、依法查处医疗保障、生育保险领域违法违规行为。</w:t>
      </w:r>
    </w:p>
    <w:p>
      <w:pPr>
        <w:ind w:firstLine="480"/>
        <w:jc w:val="both"/>
      </w:pPr>
      <w:r>
        <w:rPr>
          <w:rFonts w:ascii="仿宋_GB2312" w:hAnsi="仿宋_GB2312" w:cs="仿宋_GB2312" w:eastAsia="仿宋_GB2312"/>
          <w:b w:val="false"/>
          <w:sz w:val="32"/>
        </w:rPr>
        <w:t>7、负责莎车县医疗保障经办管理、公共服务体系和信息化建设。贯彻落实国家和自治区跨省异地就医管理和费用结算政策，组织实施地区异地就医和费用结算政策、医疗保障关系转移接续制度。监督指导医疗保障经办机构开展业务工作。</w:t>
      </w:r>
    </w:p>
    <w:p>
      <w:pPr>
        <w:ind w:firstLine="480"/>
        <w:jc w:val="both"/>
      </w:pPr>
      <w:r>
        <w:rPr>
          <w:rFonts w:ascii="仿宋_GB2312" w:hAnsi="仿宋_GB2312" w:cs="仿宋_GB2312" w:eastAsia="仿宋_GB2312"/>
          <w:b w:val="false"/>
          <w:sz w:val="32"/>
        </w:rPr>
        <w:t>8、完成县委、县人民政府交办的其他任务。</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新疆喀什地区莎车县医疗保障局2019年度，实有人数18人，其中：在职人员18人，离休人员0人，退休人员0人。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从部门决算单位构成看，新疆喀什地区莎车县医疗保障局部门决算包括：新疆喀什地区莎车县医疗保障局决算。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21,518.57万元，与上年相比，增加21,518.57万元，增长100%，主要原因是：因机构改革，本单位是2019年6月新成立单位。2019年调入在职人员18人，人员工资的发放以及绩效工资的发放，公用经费的领取以及项目数量的增加，经费随之增加。本年支出21,518.57万元，与上年相比，增加21,518.57万元，增长100%，主要原因是：因机构改革，本单位是2019年6月新成立单位。2019年调入在职人员18人，人员工资的发放以及绩效工资的发放，公用经费的领取以及项目数量的增加，经费随之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2019年度本年收入21,518.57万元，其中：财政拨款收入21,518.57万元，占100%；上级补助收入0万元，占0%；事业收入0万元，占0%；经营收入0万元，占0%；附属单位上缴收入0万元，占0%；其他收入0万元，占0%。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2019年度本年支出21,518.57万元，其中：基本支出123.74万元，占0.58%；项目支出21,394.83万元，占99.42%；上缴上级支出0万元，占0%；经营支出0万元，占0%；对附属单位补助支出0万元，占0%。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21,518.57万元，与上年相比，增加21,518.57万元，增长100%，主要原因是：因机构改革，本单位是2019年6月新成立单位。2019年调入在职人员18人，人员工资的发放以及绩效工资的发放，公用经费的领取以及项目数量的增加，经费随之增加。财政拨款支出21,518.57万元，与上年相比，增加21,518.57万元，增长100%，主要原因是：因机构改革，本单位是2019年6月新成立单位。2019年调入在职人员18人，人员工资的发放以及绩效工资的发放，公用经费的领取以及项目数量的增加，经费随之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3万元，决算数21,518.57万元，预决算差异率717185.67%，主要原因是：因机构改革，本单位是2019年6月新成立单位。2019年调入在职人员18人，人员工资的发放以及绩效工资的发放，公用经费的领取以及项目数量的增加，未纳入到年初预算。财政拨款支出年初预算数3万元，决算数21,518.57万元，预决算差异率717185.67%，主要原因是：因机构改革，本单位是2019年6月新成立单位。2019年调入在职人员18人，人员工资的发放以及绩效工资的发放，公用经费的领取以及项目数量的增加，未纳入到年初预算。</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2019年度一般公共预算财政拨款支出20,421.57万元。按功能分类科目项级科目公开，其中：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2080505机关事业单位基本养老保险缴费支出11.63万元；</w:t>
      </w:r>
    </w:p>
    <w:p>
      <w:pPr>
        <w:ind w:firstLine="480"/>
        <w:jc w:val="both"/>
      </w:pPr>
      <w:r>
        <w:rPr>
          <w:rFonts w:ascii="仿宋_GB2312" w:hAnsi="仿宋_GB2312" w:cs="仿宋_GB2312" w:eastAsia="仿宋_GB2312"/>
          <w:b w:val="false"/>
          <w:sz w:val="32"/>
        </w:rPr>
        <w:t xml:space="preserve">   2101301城乡医疗帮扶支出20,250.76万元；</w:t>
      </w:r>
    </w:p>
    <w:p>
      <w:pPr>
        <w:ind w:firstLine="480"/>
        <w:jc w:val="both"/>
      </w:pPr>
      <w:r>
        <w:rPr>
          <w:rFonts w:ascii="仿宋_GB2312" w:hAnsi="仿宋_GB2312" w:cs="仿宋_GB2312" w:eastAsia="仿宋_GB2312"/>
          <w:b w:val="false"/>
          <w:sz w:val="32"/>
        </w:rPr>
        <w:t xml:space="preserve">   2101501行政运行支出102.02万元；</w:t>
      </w:r>
    </w:p>
    <w:p>
      <w:pPr>
        <w:ind w:firstLine="480"/>
        <w:jc w:val="both"/>
      </w:pPr>
      <w:r>
        <w:rPr>
          <w:rFonts w:ascii="仿宋_GB2312" w:hAnsi="仿宋_GB2312" w:cs="仿宋_GB2312" w:eastAsia="仿宋_GB2312"/>
          <w:b w:val="false"/>
          <w:sz w:val="32"/>
        </w:rPr>
        <w:t xml:space="preserve">   2101504信息化建设支出18.03万元；</w:t>
      </w:r>
    </w:p>
    <w:p>
      <w:pPr>
        <w:ind w:firstLine="480"/>
        <w:jc w:val="both"/>
      </w:pPr>
      <w:r>
        <w:rPr>
          <w:rFonts w:ascii="仿宋_GB2312" w:hAnsi="仿宋_GB2312" w:cs="仿宋_GB2312" w:eastAsia="仿宋_GB2312"/>
          <w:b w:val="false"/>
          <w:sz w:val="32"/>
        </w:rPr>
        <w:t xml:space="preserve">   2210201住房公积金支出10.09万元；</w:t>
      </w:r>
    </w:p>
    <w:p>
      <w:pPr>
        <w:ind w:firstLine="480"/>
        <w:jc w:val="both"/>
      </w:pPr>
      <w:r>
        <w:rPr>
          <w:rFonts w:ascii="仿宋_GB2312" w:hAnsi="仿宋_GB2312" w:cs="仿宋_GB2312" w:eastAsia="仿宋_GB2312"/>
          <w:b w:val="false"/>
          <w:sz w:val="32"/>
        </w:rPr>
        <w:t xml:space="preserve">   2299901其他支出29.05万元。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2019年度一般公共预算财政拨款基本支出123.74万元，其中：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人员经费119.99万元，包括：基本工资、津贴补贴、奖金、绩效工资、机关事业单位基本养老保险缴费、职工基本医疗保险缴费、公务员医疗补助缴费、其他社会保障缴费、住房公积金。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公用经费3.75万元，包括：办公费。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0万元，比上年增加0万元，增长0%，主要原因是因机构改革，本单位是2019年6月新成立单位，与上年相比无变动，与上年一致。其中，因公出国（境）费支出0万元，占0%，比上年增加0万元，增长0%，主要原因是因机构改革，本单位是2019年6月新成立单位，与上年相比无变动，与上年一致；公务用车购置及运行维护费支出0万元，占0%，比上年增加0万元，增长0%，主要原因是因机构改革，本单位是2019年6月新成立单位，与上年相比无变动，与上年一致；公务接待费支出0万元，占0%，比上年增加0万元，增长0%，主要原因是因机构改革，本单位是2019年6月新成立单位，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因公出国（境）费支出0万元，开支内容包括：预算未安排因公出国经费，无此项支出。单位全年安排的因公出国（境）团组0个，因公出国（境）0人次。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0万元，其中，公务用车购置费0万元，公务用车运行维护费0万元。公务用车运行维护费开支内容包括本单位是2019年6月新成立单位，预算未安排，无此项支出。公务用车购置数0辆，公务用车保有量0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公务接待费0万元，开支内容包括本单位是2019年6月新成立单位，预算未安排，无此项支出。单位全年安排的国内公务接待0批次，0人次。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0万元，决算数0万元，预决算差异率0%，主要原因是：没有安排一般公共预算“三公”经费，预算数与决算数无差异。其中：因公出国（境）费预算数0万元，决算数0万元，预决算差异率0%，主要原因是：没有安排因公出国经费，预算数与决算数无差异；公务用车购置费预算数0万元，决算数0万元，预决算差异率0%，主要原因是：没有安排公务用车购置费，预算数与决算数无差异；公务用车运行费预算数0万元，决算数0万元，预决算差异率0%，主要原因是：没有安排公务用车运行维护费，预算数与决算数无差异；公务接待费预算数0万元，决算数0万元，预决算差异率0%，主要原因是：没有安排公务接待费，预算数与决算数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1,097万元，与上年相比，增加1,097万元，增长100%，主要原因是：因机构改革，本单位是2019年6月新成立单位。与上年相比，2018年未安排此项目，2019年安排政府性基金预算财政拨款收入，因此收入随之增加。政府性基金预算支出1,097万元，与上年相比，增加1,097万元，增长100%，主要原因是：因机构改革，本单位是2019年6月新成立单位。与上年相比，2018年未安排此项目，2019年安排政府性基金预算财政拨款支出，因此支出随之增加。</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莎车县医疗保障局机关运行经费支出3.75万元，比上年增加3.75万元，增长100%，主要原因是因机构改革，本单位是2019年6月新成立单位。2019年调入在职人员18人，人员工资的发放以及绩效工资的发放，公用经费的领取以及项目数量的增加，经费随之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2019年度政府采购支出总额0万元，其中：政府采购货物支出0万元、政府采购工程支出0万元、政府采购服务支出0万元。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0辆，价值0万元，其中：副部（省）级及以上领导用车0辆、主要领导干部用车0辆、机要通信用车0辆、应急保障用车0辆、执法执勤用车0辆、特种专业技术用车0辆、离退休干部用车0辆、其他用车0辆，其他用车主要是：无其他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3个，共涉及资金21394.83万元。预算绩效管理取得的成效：项目的实施，为莎车县积极推进全民参加基本医疗保险工作提供保障，城乡居民基本医疗保险参保率保持在99%以上，稳步提高财政补助资金，全面实施大病保险制度，显著减轻了参保人员的经济负担，缓解社会矛盾；实施民政医疗帮扶工作，给符合条件的农村贫困人口提供住院救助保障，防止农村贫困人口因病致贫、因病返贫，为打赢脱贫攻坚战作出贡献。发现的问题及原因：由于本单位干部紧缺，分管项目的人员存在一人兼职多项工作，无法确保项目实施和监管的高时效性，对项目存在管理上的滞后。下一步改进措施：1、严格按照中央八项规定，本着节约的原则，做好单位日常基本经费、车辆运行维护费等一般性支出。2、加强财务管理，严格财务审核。在费用报账时，按照预算规定的费用项目和用途进行资金使用审核、列报支付、财务核算，杜绝超支现象的发生。3、加强项目开展进度的跟踪，开展项目绩效评价，确保项目绩效目标的完成。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1tysvnX2m8+01/zf11VO7A==" w:hash="63Kn9wfvK1eRjblGYIuaSZiYw88="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