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color w:val="auto"/>
          <w:kern w:val="0"/>
          <w:sz w:val="32"/>
          <w:szCs w:val="32"/>
          <w:highlight w:val="none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color w:val="auto"/>
          <w:sz w:val="44"/>
          <w:szCs w:val="44"/>
          <w:highlight w:val="none"/>
        </w:rPr>
      </w:pP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莎车县农业农村局202</w:t>
      </w: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color w:val="auto"/>
          <w:sz w:val="44"/>
          <w:szCs w:val="44"/>
          <w:highlight w:val="none"/>
        </w:rPr>
      </w:pP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color w:val="auto"/>
          <w:sz w:val="44"/>
          <w:szCs w:val="44"/>
          <w:highlight w:val="none"/>
        </w:rPr>
      </w:pP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color w:val="auto"/>
          <w:kern w:val="0"/>
          <w:sz w:val="44"/>
          <w:szCs w:val="44"/>
          <w:highlight w:val="none"/>
          <w:lang w:bidi="en-US"/>
        </w:rPr>
      </w:pPr>
      <w:r>
        <w:rPr>
          <w:rFonts w:hint="eastAsia" w:ascii="方正小标宋_GBK" w:hAnsi="Times New Roman" w:eastAsia="方正小标宋_GBK" w:cs="Times New Roman"/>
          <w:color w:val="auto"/>
          <w:kern w:val="0"/>
          <w:sz w:val="44"/>
          <w:szCs w:val="44"/>
          <w:highlight w:val="none"/>
          <w:lang w:bidi="en-US"/>
        </w:rPr>
        <w:t>（202</w:t>
      </w:r>
      <w:r>
        <w:rPr>
          <w:rFonts w:hint="eastAsia" w:ascii="方正小标宋_GBK" w:hAnsi="Times New Roman" w:eastAsia="方正小标宋_GBK" w:cs="Times New Roman"/>
          <w:color w:val="auto"/>
          <w:kern w:val="0"/>
          <w:sz w:val="44"/>
          <w:szCs w:val="44"/>
          <w:highlight w:val="none"/>
          <w:lang w:val="en-US" w:eastAsia="zh-CN" w:bidi="en-US"/>
        </w:rPr>
        <w:t>2</w:t>
      </w:r>
      <w:r>
        <w:rPr>
          <w:rFonts w:hint="eastAsia" w:ascii="方正小标宋_GBK" w:hAnsi="Times New Roman" w:eastAsia="方正小标宋_GBK" w:cs="Times New Roman"/>
          <w:color w:val="auto"/>
          <w:kern w:val="0"/>
          <w:sz w:val="44"/>
          <w:szCs w:val="44"/>
          <w:highlight w:val="none"/>
          <w:lang w:bidi="en-US"/>
        </w:rPr>
        <w:t>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color w:val="auto"/>
          <w:kern w:val="0"/>
          <w:sz w:val="50"/>
          <w:szCs w:val="50"/>
          <w:highlight w:val="none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color w:val="auto"/>
          <w:kern w:val="0"/>
          <w:sz w:val="50"/>
          <w:szCs w:val="50"/>
          <w:highlight w:val="none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color w:val="auto"/>
          <w:kern w:val="0"/>
          <w:sz w:val="50"/>
          <w:szCs w:val="50"/>
          <w:highlight w:val="none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hint="eastAsia" w:ascii="方正仿宋_GBK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 w:bidi="en-US"/>
        </w:rPr>
      </w:pPr>
      <w:r>
        <w:rPr>
          <w:rFonts w:hint="eastAsia" w:ascii="方正仿宋_GBK" w:hAnsi="Times New Roman" w:eastAsia="方正仿宋_GBK" w:cs="Times New Roman"/>
          <w:color w:val="auto"/>
          <w:kern w:val="0"/>
          <w:sz w:val="32"/>
          <w:szCs w:val="32"/>
          <w:highlight w:val="none"/>
          <w:lang w:bidi="en-US"/>
        </w:rPr>
        <w:t>项目名称：</w:t>
      </w:r>
      <w:r>
        <w:rPr>
          <w:rFonts w:hint="eastAsia" w:ascii="方正仿宋_GBK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 w:bidi="en-US"/>
        </w:rPr>
        <w:t>莎车县恰热克镇鲜果基地配套基础设施建设项目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color w:val="auto"/>
          <w:kern w:val="0"/>
          <w:sz w:val="32"/>
          <w:szCs w:val="32"/>
          <w:highlight w:val="none"/>
          <w:lang w:bidi="en-US"/>
        </w:rPr>
      </w:pPr>
      <w:r>
        <w:rPr>
          <w:rFonts w:hint="eastAsia" w:ascii="方正仿宋_GBK" w:hAnsi="Times New Roman" w:eastAsia="方正仿宋_GBK" w:cs="Times New Roman"/>
          <w:color w:val="auto"/>
          <w:kern w:val="0"/>
          <w:sz w:val="32"/>
          <w:szCs w:val="32"/>
          <w:highlight w:val="none"/>
          <w:lang w:bidi="en-US"/>
        </w:rPr>
        <w:t>实施单位：莎车县农业农村局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color w:val="auto"/>
          <w:kern w:val="0"/>
          <w:sz w:val="32"/>
          <w:szCs w:val="32"/>
          <w:highlight w:val="none"/>
          <w:lang w:bidi="en-US"/>
        </w:rPr>
      </w:pPr>
      <w:r>
        <w:rPr>
          <w:rFonts w:hint="eastAsia" w:ascii="方正仿宋_GBK" w:hAnsi="Times New Roman" w:eastAsia="方正仿宋_GBK" w:cs="Times New Roman"/>
          <w:color w:val="auto"/>
          <w:kern w:val="0"/>
          <w:sz w:val="32"/>
          <w:szCs w:val="32"/>
          <w:highlight w:val="none"/>
          <w:lang w:bidi="en-US"/>
        </w:rPr>
        <w:t>主管部门：莎车县农业农村局</w:t>
      </w:r>
    </w:p>
    <w:p>
      <w:pPr>
        <w:spacing w:line="480" w:lineRule="auto"/>
        <w:ind w:firstLine="566" w:firstLineChars="177"/>
        <w:jc w:val="left"/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eastAsia="zh-CN" w:bidi="en-US"/>
        </w:rPr>
      </w:pP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bidi="en-US"/>
        </w:rPr>
        <w:t>项目负责人：</w:t>
      </w: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val="en-US" w:eastAsia="zh-CN" w:bidi="en-US"/>
        </w:rPr>
        <w:t>王军红</w:t>
      </w:r>
    </w:p>
    <w:p>
      <w:pPr>
        <w:spacing w:line="480" w:lineRule="auto"/>
        <w:ind w:firstLine="566" w:firstLineChars="177"/>
        <w:jc w:val="left"/>
        <w:rPr>
          <w:rFonts w:hint="default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val="en-US" w:eastAsia="zh-CN" w:bidi="en-US"/>
        </w:rPr>
      </w:pP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bidi="en-US"/>
        </w:rPr>
        <w:t>填报时间：202</w:t>
      </w: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val="en-US" w:eastAsia="zh-CN" w:bidi="en-US"/>
        </w:rPr>
        <w:t>2</w:t>
      </w: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bidi="en-US"/>
        </w:rPr>
        <w:t>年1</w:t>
      </w: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val="en-US" w:eastAsia="zh-CN" w:bidi="en-US"/>
        </w:rPr>
        <w:t>2</w:t>
      </w: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bidi="en-US"/>
        </w:rPr>
        <w:t>月</w:t>
      </w:r>
      <w:r>
        <w:rPr>
          <w:rFonts w:hint="eastAsia" w:ascii="方正仿宋_GBK" w:hAnsi="仿宋_GB2312" w:eastAsia="方正仿宋_GBK" w:cs="仿宋_GB2312"/>
          <w:color w:val="auto"/>
          <w:kern w:val="0"/>
          <w:sz w:val="32"/>
          <w:szCs w:val="32"/>
          <w:highlight w:val="none"/>
          <w:lang w:val="en-US" w:eastAsia="zh-CN" w:bidi="en-US"/>
        </w:rPr>
        <w:t>31日</w:t>
      </w:r>
    </w:p>
    <w:p>
      <w:pPr>
        <w:spacing w:line="480" w:lineRule="auto"/>
        <w:ind w:firstLine="1411" w:firstLineChars="441"/>
        <w:jc w:val="left"/>
        <w:rPr>
          <w:rFonts w:ascii="仿宋_GB2312" w:hAnsi="仿宋_GB2312" w:cs="仿宋_GB2312"/>
          <w:color w:val="auto"/>
          <w:kern w:val="0"/>
          <w:sz w:val="32"/>
          <w:szCs w:val="32"/>
          <w:highlight w:val="none"/>
          <w:lang w:bidi="en-US"/>
        </w:rPr>
      </w:pPr>
    </w:p>
    <w:p>
      <w:pPr>
        <w:spacing w:line="480" w:lineRule="auto"/>
        <w:ind w:firstLine="926" w:firstLineChars="441"/>
        <w:jc w:val="left"/>
        <w:rPr>
          <w:color w:val="auto"/>
          <w:highlight w:val="none"/>
        </w:rPr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spacing w:line="480" w:lineRule="auto"/>
        <w:ind w:firstLine="926" w:firstLineChars="441"/>
        <w:jc w:val="left"/>
        <w:rPr>
          <w:color w:val="auto"/>
          <w:highlight w:val="none"/>
        </w:rPr>
        <w:sectPr>
          <w:type w:val="continuous"/>
          <w:pgSz w:w="11906" w:h="16838"/>
          <w:pgMar w:top="1985" w:right="1134" w:bottom="1134" w:left="1701" w:header="737" w:footer="737" w:gutter="0"/>
          <w:cols w:space="425" w:num="1"/>
          <w:docGrid w:linePitch="312" w:charSpace="0"/>
        </w:sectPr>
      </w:pPr>
    </w:p>
    <w:p>
      <w:pPr>
        <w:jc w:val="center"/>
        <w:outlineLvl w:val="0"/>
        <w:rPr>
          <w:rFonts w:ascii="方正小标宋_GBK" w:hAnsi="Arial" w:eastAsia="方正小标宋_GBK"/>
          <w:b/>
          <w:color w:val="auto"/>
          <w:sz w:val="44"/>
          <w:szCs w:val="44"/>
          <w:highlight w:val="none"/>
        </w:rPr>
      </w:pP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莎车县农业农村局202</w:t>
      </w: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color w:val="auto"/>
          <w:sz w:val="44"/>
          <w:szCs w:val="44"/>
          <w:highlight w:val="none"/>
        </w:rPr>
      </w:pP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color w:val="auto"/>
          <w:sz w:val="44"/>
          <w:szCs w:val="44"/>
          <w:highlight w:val="none"/>
        </w:rPr>
      </w:pPr>
      <w:r>
        <w:rPr>
          <w:rFonts w:hint="eastAsia" w:ascii="方正小标宋_GBK" w:hAnsi="Arial" w:eastAsia="方正小标宋_GBK"/>
          <w:b/>
          <w:color w:val="auto"/>
          <w:sz w:val="44"/>
          <w:szCs w:val="44"/>
          <w:highlight w:val="none"/>
        </w:rPr>
        <w:t>绩效自评总结报告</w:t>
      </w:r>
    </w:p>
    <w:p>
      <w:pPr>
        <w:pStyle w:val="47"/>
        <w:ind w:left="2" w:right="2" w:firstLine="640"/>
        <w:rPr>
          <w:color w:val="auto"/>
          <w:highlight w:val="none"/>
        </w:rPr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下达预算情况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本项目根据</w:t>
      </w:r>
      <w:r>
        <w:rPr>
          <w:rFonts w:hint="eastAsia"/>
          <w:color w:val="auto"/>
          <w:highlight w:val="none"/>
        </w:rPr>
        <w:t>莎发改〔2022〕</w:t>
      </w:r>
      <w:r>
        <w:rPr>
          <w:rFonts w:hint="eastAsia"/>
          <w:color w:val="auto"/>
          <w:highlight w:val="none"/>
          <w:lang w:val="en-US" w:eastAsia="zh-CN"/>
        </w:rPr>
        <w:t>16</w:t>
      </w:r>
      <w:r>
        <w:rPr>
          <w:rFonts w:hint="eastAsia"/>
          <w:color w:val="auto"/>
          <w:highlight w:val="none"/>
        </w:rPr>
        <w:t>号</w:t>
      </w:r>
      <w:r>
        <w:rPr>
          <w:color w:val="auto"/>
          <w:highlight w:val="none"/>
        </w:rPr>
        <w:t>文</w:t>
      </w:r>
      <w:r>
        <w:rPr>
          <w:rFonts w:hint="eastAsia"/>
          <w:color w:val="auto"/>
          <w:highlight w:val="none"/>
          <w:lang w:eastAsia="zh-CN"/>
        </w:rPr>
        <w:t>莎车县恰热克镇鲜果基地配套基础设施建设项目</w:t>
      </w:r>
      <w:r>
        <w:rPr>
          <w:color w:val="auto"/>
          <w:highlight w:val="none"/>
        </w:rPr>
        <w:t>批复立项实施，根据莎财扶〔202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〕</w:t>
      </w:r>
      <w:r>
        <w:rPr>
          <w:rFonts w:hint="eastAsia"/>
          <w:color w:val="auto"/>
          <w:highlight w:val="none"/>
          <w:lang w:val="en-US" w:eastAsia="zh-CN"/>
        </w:rPr>
        <w:t>12</w:t>
      </w:r>
      <w:r>
        <w:rPr>
          <w:color w:val="auto"/>
          <w:highlight w:val="none"/>
        </w:rPr>
        <w:t>号文下达资金</w:t>
      </w:r>
      <w:r>
        <w:rPr>
          <w:rFonts w:hint="eastAsia"/>
          <w:color w:val="auto"/>
          <w:highlight w:val="none"/>
          <w:lang w:eastAsia="zh-CN"/>
        </w:rPr>
        <w:t>757</w:t>
      </w:r>
      <w:r>
        <w:rPr>
          <w:color w:val="auto"/>
          <w:highlight w:val="none"/>
        </w:rPr>
        <w:t>万元，实际到位</w:t>
      </w:r>
      <w:r>
        <w:rPr>
          <w:rFonts w:hint="eastAsia"/>
          <w:color w:val="auto"/>
          <w:highlight w:val="none"/>
          <w:lang w:eastAsia="zh-CN"/>
        </w:rPr>
        <w:t>757</w:t>
      </w:r>
      <w:r>
        <w:rPr>
          <w:color w:val="auto"/>
          <w:highlight w:val="none"/>
        </w:rPr>
        <w:t>万元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资金来源为以工代赈资金</w:t>
      </w:r>
      <w:r>
        <w:rPr>
          <w:color w:val="auto"/>
          <w:highlight w:val="none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项目情况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本项目实施单位是莎车县农业农村局。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本项目主要内容是</w:t>
      </w:r>
      <w:r>
        <w:rPr>
          <w:rFonts w:hint="eastAsia"/>
          <w:color w:val="auto"/>
          <w:highlight w:val="none"/>
          <w:lang w:val="en-US" w:eastAsia="zh-CN"/>
        </w:rPr>
        <w:t>计划</w:t>
      </w:r>
      <w:r>
        <w:rPr>
          <w:rFonts w:hint="eastAsia"/>
          <w:color w:val="auto"/>
          <w:highlight w:val="none"/>
        </w:rPr>
        <w:t>完成土地平整，维修改建7个井水滴灌系统等。</w:t>
      </w:r>
      <w:r>
        <w:rPr>
          <w:rFonts w:hint="eastAsia"/>
          <w:color w:val="auto"/>
          <w:highlight w:val="none"/>
          <w:lang w:val="en-US" w:eastAsia="zh-CN"/>
        </w:rPr>
        <w:t>将</w:t>
      </w:r>
      <w:r>
        <w:rPr>
          <w:rFonts w:hint="eastAsia"/>
          <w:color w:val="auto"/>
          <w:highlight w:val="none"/>
        </w:rPr>
        <w:t>有效改善项目区农田基础设施条件，提高耕地质量，极大的提高水资源利用率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项目绩效总体目标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项目</w:t>
      </w:r>
      <w:r>
        <w:rPr>
          <w:rFonts w:hint="eastAsia"/>
          <w:color w:val="auto"/>
          <w:highlight w:val="none"/>
        </w:rPr>
        <w:t>本年</w:t>
      </w:r>
      <w:r>
        <w:rPr>
          <w:rFonts w:hint="eastAsia"/>
          <w:color w:val="auto"/>
          <w:highlight w:val="none"/>
          <w:lang w:val="en-US" w:eastAsia="zh-CN"/>
        </w:rPr>
        <w:t>计划</w:t>
      </w:r>
      <w:r>
        <w:rPr>
          <w:rFonts w:hint="eastAsia"/>
          <w:color w:val="auto"/>
          <w:highlight w:val="none"/>
        </w:rPr>
        <w:t>完成土地平整面积1.2万亩，维修改建7个井水滴灌系统等。通过项目实施可有效改善项目区农田基础设施条件，提高耕地质量，极大的提高水资源利用率，改善灌溉面积0.34万亩，提高农业综合生产能力，提高农民收入。项目建设期间，将提供299个就业岗位，累计发放劳务报酬不少于139.49万元。滴灌系统预计可使用年限达10年，受益脱贫人口满意度在95%以上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具体绩效指标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273"/>
        <w:gridCol w:w="2273"/>
        <w:gridCol w:w="22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一级指标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二级指标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三级指标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平整土地面积（万亩）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≥1.2万亩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维修改建井水滴灌系统数量（个）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≥7个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质量指标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项目验收合格率（%）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时效指标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项目开工时间（年/月）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2022年3月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项目完工时间（年/月）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2022年4月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资金支付及时率（%）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成本指标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建设项目成本（万元）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≤675.59万元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其他成本（万元）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≤81.41万元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效益指标（30分）</w:t>
            </w: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经济效益指标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★★★带动增加脱贫人口全年总收入（≥**万元）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≥36.25万元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带动增加一般户全年总收入（≥**万元）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≥103.24万元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社会效益指标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★★★受益脱贫人口数（≥**人）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≥84人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受益一般户人口数（≥**人）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≥215人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改善林果种植基地灌溉面积（万亩）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≥0.34万亩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可持续影响指标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滴灌系统可使用年限（年）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满意度指标（10分）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服务对象满意度指标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≥95%</w:t>
            </w:r>
          </w:p>
        </w:tc>
      </w:tr>
    </w:tbl>
    <w:p>
      <w:pPr>
        <w:pStyle w:val="47"/>
        <w:ind w:left="0" w:leftChars="0" w:right="2" w:firstLine="0" w:firstLineChars="0"/>
        <w:rPr>
          <w:color w:val="auto"/>
          <w:highlight w:val="none"/>
        </w:rPr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绩效自评工作开展范围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绩效自评工作对象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color w:val="auto"/>
          <w:highlight w:val="none"/>
          <w:lang w:eastAsia="zh-CN"/>
        </w:rPr>
        <w:t>阿热勒乡苏盖提力克示范村建设项目（农产品加工车间建设）</w:t>
      </w:r>
      <w:r>
        <w:rPr>
          <w:color w:val="auto"/>
          <w:highlight w:val="none"/>
        </w:rP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绩效自评工作时间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绩效自评工作时间是202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10</w:t>
      </w:r>
      <w:r>
        <w:rPr>
          <w:color w:val="auto"/>
          <w:highlight w:val="none"/>
        </w:rPr>
        <w:t>月至1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月。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前期准备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202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年1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color w:val="auto"/>
          <w:highlight w:val="none"/>
        </w:rP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组 长：黄晓峰（莎车县农业农村局党委书记）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副组长：赵晓莉（莎车县农业农村局局长）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成 员：张 强（莎车县农业农村局主任科员、林果办负责人）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李武国（莎车县农业农村局林果办主任）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杨新成（莎车县农业农村局林果办项目负责人）</w:t>
      </w:r>
    </w:p>
    <w:p>
      <w:pPr>
        <w:pStyle w:val="47"/>
        <w:ind w:left="2" w:right="2" w:firstLine="640"/>
        <w:rPr>
          <w:rFonts w:hint="eastAsia" w:eastAsia="方正仿宋_GBK"/>
          <w:color w:val="auto"/>
          <w:highlight w:val="none"/>
          <w:lang w:eastAsia="zh-CN"/>
        </w:rPr>
      </w:pPr>
      <w:r>
        <w:rPr>
          <w:color w:val="auto"/>
          <w:highlight w:val="none"/>
        </w:rPr>
        <w:t>蒋政（莎车县农业农村局林果项目办工作人员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组织实施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分析评价。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（1）绩效自评指标体系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  <w:highlight w:val="none"/>
          <w:lang w:val="en-US" w:eastAsia="zh-CN"/>
        </w:rPr>
        <w:t>12</w:t>
      </w:r>
      <w:r>
        <w:rPr>
          <w:color w:val="auto"/>
          <w:highlight w:val="none"/>
        </w:rPr>
        <w:t>分、质量指标</w:t>
      </w:r>
      <w:r>
        <w:rPr>
          <w:rFonts w:hint="eastAsia"/>
          <w:color w:val="auto"/>
          <w:highlight w:val="none"/>
          <w:lang w:val="en-US" w:eastAsia="zh-CN"/>
        </w:rPr>
        <w:t>7</w:t>
      </w:r>
      <w:r>
        <w:rPr>
          <w:color w:val="auto"/>
          <w:highlight w:val="none"/>
        </w:rPr>
        <w:t>分，时效指标</w:t>
      </w:r>
      <w:r>
        <w:rPr>
          <w:rFonts w:hint="eastAsia"/>
          <w:color w:val="auto"/>
          <w:highlight w:val="none"/>
          <w:lang w:val="en-US" w:eastAsia="zh-CN"/>
        </w:rPr>
        <w:t>19</w:t>
      </w:r>
      <w:r>
        <w:rPr>
          <w:color w:val="auto"/>
          <w:highlight w:val="none"/>
        </w:rPr>
        <w:t>分、成本指标</w:t>
      </w:r>
      <w:r>
        <w:rPr>
          <w:rFonts w:hint="eastAsia"/>
          <w:color w:val="auto"/>
          <w:highlight w:val="none"/>
          <w:lang w:val="en-US" w:eastAsia="zh-CN"/>
        </w:rPr>
        <w:t>12</w:t>
      </w:r>
      <w:r>
        <w:rPr>
          <w:color w:val="auto"/>
          <w:highlight w:val="none"/>
        </w:rPr>
        <w:t>分、经济效益指标</w:t>
      </w:r>
      <w:r>
        <w:rPr>
          <w:rFonts w:hint="eastAsia"/>
          <w:color w:val="auto"/>
          <w:highlight w:val="none"/>
          <w:lang w:val="en-US" w:eastAsia="zh-CN"/>
        </w:rPr>
        <w:t>11</w:t>
      </w:r>
      <w:r>
        <w:rPr>
          <w:color w:val="auto"/>
          <w:highlight w:val="none"/>
        </w:rPr>
        <w:t>分、社会效益指标</w:t>
      </w:r>
      <w:r>
        <w:rPr>
          <w:rFonts w:hint="eastAsia"/>
          <w:color w:val="auto"/>
          <w:highlight w:val="none"/>
          <w:lang w:val="en-US" w:eastAsia="zh-CN"/>
        </w:rPr>
        <w:t>14</w:t>
      </w:r>
      <w:r>
        <w:rPr>
          <w:color w:val="auto"/>
          <w:highlight w:val="none"/>
        </w:rPr>
        <w:t>分、可持续影响指标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color w:val="auto"/>
          <w:highlight w:val="none"/>
        </w:rPr>
        <w:t>分、满意度指标10分、预算资金执行率10分，满分100分。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（2）绩效自评方法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（3）绩效自评标准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（4）绩效自评等级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项目资金到位情况分析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本项目预算安排资金为</w:t>
      </w:r>
      <w:r>
        <w:rPr>
          <w:rFonts w:hint="eastAsia"/>
          <w:color w:val="auto"/>
          <w:highlight w:val="none"/>
          <w:lang w:eastAsia="zh-CN"/>
        </w:rPr>
        <w:t>757</w:t>
      </w:r>
      <w:r>
        <w:rPr>
          <w:color w:val="auto"/>
          <w:highlight w:val="none"/>
        </w:rPr>
        <w:t>万元，实际到位资金</w:t>
      </w:r>
      <w:r>
        <w:rPr>
          <w:rFonts w:hint="eastAsia"/>
          <w:color w:val="auto"/>
          <w:highlight w:val="none"/>
          <w:lang w:eastAsia="zh-CN"/>
        </w:rPr>
        <w:t>757</w:t>
      </w:r>
      <w:r>
        <w:rPr>
          <w:color w:val="auto"/>
          <w:highlight w:val="none"/>
        </w:rPr>
        <w:t>万元，</w:t>
      </w:r>
      <w:r>
        <w:rPr>
          <w:rFonts w:hint="eastAsia"/>
          <w:color w:val="auto"/>
          <w:highlight w:val="none"/>
          <w:lang w:val="en-US" w:eastAsia="zh-CN"/>
        </w:rPr>
        <w:t>资金来源为以工代赈资金，</w:t>
      </w:r>
      <w:r>
        <w:rPr>
          <w:color w:val="auto"/>
          <w:highlight w:val="none"/>
        </w:rPr>
        <w:t>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项目资金执行情况分析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本项目实际支付资金</w:t>
      </w:r>
      <w:r>
        <w:rPr>
          <w:rFonts w:hint="eastAsia"/>
          <w:color w:val="auto"/>
          <w:highlight w:val="none"/>
          <w:lang w:eastAsia="zh-CN"/>
        </w:rPr>
        <w:t>705.20</w:t>
      </w:r>
      <w:r>
        <w:rPr>
          <w:color w:val="auto"/>
          <w:highlight w:val="none"/>
        </w:rPr>
        <w:t>万元，预算执行率</w:t>
      </w:r>
      <w:r>
        <w:rPr>
          <w:rFonts w:hint="eastAsia"/>
          <w:color w:val="auto"/>
          <w:highlight w:val="none"/>
          <w:lang w:val="en-US" w:eastAsia="zh-CN"/>
        </w:rPr>
        <w:t>93.16%</w:t>
      </w:r>
      <w:r>
        <w:rPr>
          <w:color w:val="auto"/>
          <w:highlight w:val="none"/>
        </w:rPr>
        <w:t>。本项目资金主要用于</w:t>
      </w:r>
      <w:r>
        <w:rPr>
          <w:rFonts w:hint="eastAsia"/>
          <w:color w:val="auto"/>
          <w:highlight w:val="none"/>
        </w:rPr>
        <w:t>恰热克镇鲜果基地配套基础设施建设</w:t>
      </w:r>
      <w:r>
        <w:rPr>
          <w:color w:val="auto"/>
          <w:highlight w:val="none"/>
        </w:rPr>
        <w:t>，</w:t>
      </w:r>
      <w:r>
        <w:rPr>
          <w:rFonts w:hint="eastAsia"/>
          <w:color w:val="auto"/>
          <w:highlight w:val="none"/>
        </w:rPr>
        <w:t>剩余资金包括暂未支付的项目审计费。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预算资金执行情况总分10分，得</w:t>
      </w:r>
      <w:r>
        <w:rPr>
          <w:rFonts w:hint="eastAsia"/>
          <w:color w:val="auto"/>
          <w:highlight w:val="none"/>
          <w:lang w:val="en-US" w:eastAsia="zh-CN"/>
        </w:rPr>
        <w:t>9.32分</w:t>
      </w:r>
      <w:r>
        <w:rPr>
          <w:color w:val="auto"/>
          <w:highlight w:val="none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项目资金管理情况分析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绩效目标完成情况分析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本年已完成土地平整面积1.2万亩，维修改建7个井水滴灌系统。项目实施后有效改善了项目区农田基础设施条件，极大的提高水资源利用率，改善了林果种植基地灌溉面积0.34万亩。项目建设期间，受益脱贫人口数达84人，带动增加脱贫人口全年总收入达36.25万元，受益一般户人口数达215人，带动增加一般户全年总收入达103.24万元。滴灌系统可使用年限达10年，受益脱贫人口满意度达到了95%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本项目共设置一级指标3个，二级指标8个，三级指标</w:t>
      </w:r>
      <w:r>
        <w:rPr>
          <w:rFonts w:hint="eastAsia"/>
          <w:color w:val="auto"/>
          <w:highlight w:val="none"/>
          <w:lang w:val="en-US" w:eastAsia="zh-CN"/>
        </w:rPr>
        <w:t>15</w:t>
      </w:r>
      <w:r>
        <w:rPr>
          <w:color w:val="auto"/>
          <w:highlight w:val="none"/>
        </w:rPr>
        <w:t>个。其中已完成三级指标</w:t>
      </w:r>
      <w:r>
        <w:rPr>
          <w:rFonts w:hint="eastAsia"/>
          <w:color w:val="auto"/>
          <w:highlight w:val="none"/>
          <w:lang w:val="en-US" w:eastAsia="zh-CN"/>
        </w:rPr>
        <w:t>15</w:t>
      </w:r>
      <w:r>
        <w:rPr>
          <w:color w:val="auto"/>
          <w:highlight w:val="none"/>
        </w:rPr>
        <w:t>个，项目绩效指标总体完成率为100%。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产出指标完成情况分析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1.1项目完成数量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（1）</w:t>
      </w:r>
      <w:r>
        <w:rPr>
          <w:rFonts w:hint="eastAsia"/>
          <w:color w:val="auto"/>
          <w:highlight w:val="none"/>
        </w:rPr>
        <w:t>平整土地面积（万亩）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大于等于1.2万亩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  <w:lang w:val="en-US" w:eastAsia="zh-CN"/>
        </w:rPr>
        <w:t>1.2万亩</w:t>
      </w:r>
      <w:r>
        <w:rPr>
          <w:color w:val="auto"/>
          <w:highlight w:val="none"/>
        </w:rPr>
        <w:t>，指标完成率为100%。所设分值为6分，实际得分为6分。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（2）</w:t>
      </w:r>
      <w:r>
        <w:rPr>
          <w:rFonts w:hint="eastAsia"/>
          <w:color w:val="auto"/>
          <w:highlight w:val="none"/>
        </w:rPr>
        <w:t>维修改建井水滴灌系统数量（个）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大于等于7个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  <w:lang w:val="en-US" w:eastAsia="zh-CN"/>
        </w:rPr>
        <w:t>7个</w:t>
      </w:r>
      <w:r>
        <w:rPr>
          <w:color w:val="auto"/>
          <w:highlight w:val="none"/>
        </w:rPr>
        <w:t>，指标完成率为100%。所设分值为6分，实际得分为6分。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该指标依据</w:t>
      </w:r>
      <w:r>
        <w:rPr>
          <w:rFonts w:hint="eastAsia"/>
          <w:color w:val="auto"/>
          <w:highlight w:val="none"/>
          <w:lang w:eastAsia="zh-CN"/>
        </w:rPr>
        <w:t>莎车县恰热克镇鲜果基地配套基础设施建设项目</w:t>
      </w:r>
      <w:r>
        <w:rPr>
          <w:color w:val="auto"/>
          <w:highlight w:val="none"/>
        </w:rPr>
        <w:t>实施方案设置，依据建设工程施工合同、项目验收单得出实际完成情况。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1.2项目完成质量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项目验收合格率（%）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等于</w:t>
      </w:r>
      <w:r>
        <w:rPr>
          <w:color w:val="auto"/>
          <w:highlight w:val="none"/>
        </w:rPr>
        <w:t>100%，全年实际完成值：100%，指标完成率为100%。所设分值为</w:t>
      </w:r>
      <w:r>
        <w:rPr>
          <w:rFonts w:hint="eastAsia"/>
          <w:color w:val="auto"/>
          <w:highlight w:val="none"/>
          <w:lang w:val="en-US" w:eastAsia="zh-CN"/>
        </w:rPr>
        <w:t>7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7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该指标依据</w:t>
      </w:r>
      <w:r>
        <w:rPr>
          <w:rFonts w:hint="eastAsia"/>
          <w:color w:val="auto"/>
          <w:highlight w:val="none"/>
          <w:lang w:eastAsia="zh-CN"/>
        </w:rPr>
        <w:t>莎车县恰热克镇鲜果基地配套基础设施建设项目</w:t>
      </w:r>
      <w:r>
        <w:rPr>
          <w:color w:val="auto"/>
          <w:highlight w:val="none"/>
        </w:rPr>
        <w:t>实施方案设置，依据建设工程施工合同、项目验收单得出实际完成情况。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1.3项目完成时效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color w:val="auto"/>
          <w:highlight w:val="none"/>
        </w:rPr>
        <w:t>）</w:t>
      </w:r>
      <w:r>
        <w:rPr>
          <w:rFonts w:hint="eastAsia"/>
          <w:color w:val="auto"/>
          <w:highlight w:val="none"/>
        </w:rPr>
        <w:t>项目开工时间（年/月）</w:t>
      </w:r>
      <w:r>
        <w:rPr>
          <w:color w:val="auto"/>
          <w:highlight w:val="none"/>
        </w:rPr>
        <w:t>，年度计划指标值：202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color w:val="auto"/>
          <w:highlight w:val="none"/>
        </w:rPr>
        <w:t>月，全年实际完成值：202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color w:val="auto"/>
          <w:highlight w:val="none"/>
        </w:rPr>
        <w:t>月。所设分值为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）</w:t>
      </w:r>
      <w:r>
        <w:rPr>
          <w:rFonts w:hint="eastAsia"/>
          <w:color w:val="auto"/>
          <w:highlight w:val="none"/>
        </w:rPr>
        <w:t>项目完工时间（年/月）</w:t>
      </w:r>
      <w:r>
        <w:rPr>
          <w:color w:val="auto"/>
          <w:highlight w:val="none"/>
        </w:rPr>
        <w:t>，年度计划指标值：202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color w:val="auto"/>
          <w:highlight w:val="none"/>
        </w:rPr>
        <w:t>月，全年实际完成值：202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color w:val="auto"/>
          <w:highlight w:val="none"/>
        </w:rPr>
        <w:t>月。所设分值为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color w:val="auto"/>
          <w:highlight w:val="none"/>
        </w:rPr>
        <w:t>）资金支付及时率(%)，年度计划指标值：</w:t>
      </w:r>
      <w:r>
        <w:rPr>
          <w:rFonts w:hint="eastAsia"/>
          <w:color w:val="auto"/>
          <w:highlight w:val="none"/>
          <w:lang w:val="en-US" w:eastAsia="zh-CN"/>
        </w:rPr>
        <w:t>等于</w:t>
      </w:r>
      <w:r>
        <w:rPr>
          <w:color w:val="auto"/>
          <w:highlight w:val="none"/>
        </w:rPr>
        <w:t>100%，全年实际完成值：100%。所设分值为</w:t>
      </w:r>
      <w:r>
        <w:rPr>
          <w:rFonts w:hint="eastAsia"/>
          <w:color w:val="auto"/>
          <w:highlight w:val="none"/>
          <w:lang w:val="en-US" w:eastAsia="zh-CN"/>
        </w:rPr>
        <w:t>7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7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rFonts w:hint="default"/>
          <w:color w:val="auto"/>
          <w:highlight w:val="none"/>
          <w:lang w:val="en-US" w:eastAsia="zh-CN"/>
        </w:rPr>
      </w:pPr>
      <w:r>
        <w:rPr>
          <w:rFonts w:hint="default"/>
          <w:color w:val="auto"/>
          <w:highlight w:val="none"/>
          <w:lang w:val="en-US" w:eastAsia="zh-CN"/>
        </w:rPr>
        <w:t>该指标依据</w:t>
      </w:r>
      <w:r>
        <w:rPr>
          <w:rFonts w:hint="eastAsia"/>
          <w:color w:val="auto"/>
          <w:highlight w:val="none"/>
          <w:lang w:val="en-US" w:eastAsia="zh-CN"/>
        </w:rPr>
        <w:t>莎车县恰热克镇鲜果基地配套基础设施建设项目</w:t>
      </w:r>
      <w:r>
        <w:rPr>
          <w:rFonts w:hint="default"/>
          <w:color w:val="auto"/>
          <w:highlight w:val="none"/>
          <w:lang w:val="en-US" w:eastAsia="zh-CN"/>
        </w:rPr>
        <w:t>实施方案设置，依据《项目资金支付台账》、《财务记账凭证及附件》、建设工程施工合同、项目验收单得出实际完成情况。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1.4项目成本节约情况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（1）</w:t>
      </w:r>
      <w:r>
        <w:rPr>
          <w:rFonts w:hint="eastAsia"/>
          <w:color w:val="auto"/>
          <w:highlight w:val="none"/>
        </w:rPr>
        <w:t>建设</w:t>
      </w:r>
      <w:r>
        <w:rPr>
          <w:rFonts w:hint="eastAsia"/>
          <w:color w:val="auto"/>
          <w:highlight w:val="none"/>
          <w:lang w:val="en-US" w:eastAsia="zh-CN"/>
        </w:rPr>
        <w:t>项目</w:t>
      </w:r>
      <w:r>
        <w:rPr>
          <w:rFonts w:hint="eastAsia"/>
          <w:color w:val="auto"/>
          <w:highlight w:val="none"/>
        </w:rPr>
        <w:t>成本（万元）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小于等于675.59万元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</w:rPr>
        <w:t>672.38万元</w:t>
      </w:r>
      <w:r>
        <w:rPr>
          <w:color w:val="auto"/>
          <w:highlight w:val="none"/>
        </w:rPr>
        <w:t>。所设分值为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color w:val="auto"/>
          <w:highlight w:val="none"/>
        </w:rPr>
        <w:t>）</w:t>
      </w:r>
      <w:r>
        <w:rPr>
          <w:rFonts w:hint="eastAsia"/>
          <w:color w:val="auto"/>
          <w:highlight w:val="none"/>
        </w:rPr>
        <w:t>其他成本（万元）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小于等于81.41万元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</w:rPr>
        <w:t>32.82万元</w:t>
      </w:r>
      <w:r>
        <w:rPr>
          <w:color w:val="auto"/>
          <w:highlight w:val="none"/>
        </w:rPr>
        <w:t>。所设分值为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default"/>
          <w:color w:val="auto"/>
          <w:highlight w:val="none"/>
          <w:lang w:val="en-US" w:eastAsia="zh-CN"/>
        </w:rPr>
        <w:t>该指标依据</w:t>
      </w: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莎车县恰热克镇鲜果基地配套基础设施建设项目</w:t>
      </w:r>
      <w:r>
        <w:rPr>
          <w:rFonts w:hint="default"/>
          <w:color w:val="auto"/>
          <w:highlight w:val="none"/>
          <w:lang w:val="en-US" w:eastAsia="zh-CN"/>
        </w:rPr>
        <w:t>实施方案设置，依据《项目资金支付台账》、《财务记账凭证及附件》得出实际完成情况。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产出指标总分50分，合计得分50分。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效益指标完成情况分析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2.1项目实施的经济效益分析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带动增加脱贫人口全年总收入（万元）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大于等于36.25万元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  <w:lang w:val="en-US" w:eastAsia="zh-CN"/>
        </w:rPr>
        <w:t>36.25万元</w:t>
      </w:r>
      <w:r>
        <w:rPr>
          <w:color w:val="auto"/>
          <w:highlight w:val="none"/>
        </w:rPr>
        <w:t>，指标完成率100%。所设分值为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带动增加一般户全年总收入（万元）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大于等于103.24万元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  <w:lang w:val="en-US" w:eastAsia="zh-CN"/>
        </w:rPr>
        <w:t>103.24万元</w:t>
      </w:r>
      <w:r>
        <w:rPr>
          <w:color w:val="auto"/>
          <w:highlight w:val="none"/>
        </w:rPr>
        <w:t>，指标完成率100%。所设分值为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2.2项目实施的社会效益分析</w:t>
      </w:r>
    </w:p>
    <w:p>
      <w:pPr>
        <w:pStyle w:val="47"/>
        <w:numPr>
          <w:ilvl w:val="0"/>
          <w:numId w:val="2"/>
        </w:numPr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受益脱贫人口数（人）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大于等于84人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  <w:lang w:val="en-US" w:eastAsia="zh-CN"/>
        </w:rPr>
        <w:t>84人</w:t>
      </w:r>
      <w:r>
        <w:rPr>
          <w:color w:val="auto"/>
          <w:highlight w:val="none"/>
        </w:rPr>
        <w:t>，指标完成率100%。所设分值为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color w:val="auto"/>
          <w:highlight w:val="none"/>
        </w:rPr>
        <w:t>分。</w:t>
      </w:r>
    </w:p>
    <w:p>
      <w:pPr>
        <w:pStyle w:val="47"/>
        <w:numPr>
          <w:ilvl w:val="0"/>
          <w:numId w:val="2"/>
        </w:numPr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受益一般户人口数（人）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大于等于215人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  <w:lang w:val="en-US" w:eastAsia="zh-CN"/>
        </w:rPr>
        <w:t>215人</w:t>
      </w:r>
      <w:r>
        <w:rPr>
          <w:color w:val="auto"/>
          <w:highlight w:val="none"/>
        </w:rPr>
        <w:t>，指标完成率100%。所设分值为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rFonts w:hint="eastAsia" w:eastAsia="方正仿宋_GBK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改善林果种植基地灌溉面积（万亩）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大于等于0.34万亩</w:t>
      </w:r>
      <w:r>
        <w:rPr>
          <w:color w:val="auto"/>
          <w:highlight w:val="none"/>
        </w:rPr>
        <w:t>，全年实际完成值：</w:t>
      </w:r>
      <w:r>
        <w:rPr>
          <w:rFonts w:hint="eastAsia"/>
          <w:color w:val="auto"/>
          <w:highlight w:val="none"/>
          <w:lang w:val="en-US" w:eastAsia="zh-CN"/>
        </w:rPr>
        <w:t>0.34万亩</w:t>
      </w:r>
      <w:r>
        <w:rPr>
          <w:color w:val="auto"/>
          <w:highlight w:val="none"/>
        </w:rPr>
        <w:t>，指标完成率100%。所设分值为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2.3项目实施的可持续影响分析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滴灌系统可使用年限（年）</w:t>
      </w:r>
      <w:r>
        <w:rPr>
          <w:color w:val="auto"/>
          <w:highlight w:val="none"/>
        </w:rPr>
        <w:t>，年度计划指标值：</w:t>
      </w:r>
      <w:r>
        <w:rPr>
          <w:rFonts w:hint="eastAsia"/>
          <w:color w:val="auto"/>
          <w:highlight w:val="none"/>
          <w:lang w:val="en-US" w:eastAsia="zh-CN"/>
        </w:rPr>
        <w:t>大于等于</w:t>
      </w:r>
      <w:r>
        <w:rPr>
          <w:color w:val="auto"/>
          <w:highlight w:val="none"/>
        </w:rPr>
        <w:t>10年，全年实际完成值：10年，指标完成率为100%。所设分值为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color w:val="auto"/>
          <w:highlight w:val="none"/>
        </w:rPr>
        <w:t>分，实际得分为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color w:val="auto"/>
          <w:highlight w:val="none"/>
        </w:rPr>
        <w:t>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效益指标总分30分，合计得分30分。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满意度指标完成情况分析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满意度指标，依据项目实际受益对象情况，设定指标</w:t>
      </w:r>
      <w:r>
        <w:rPr>
          <w:rFonts w:hint="eastAsia"/>
          <w:color w:val="auto"/>
          <w:highlight w:val="none"/>
        </w:rPr>
        <w:t>受益脱贫人口满意度</w:t>
      </w:r>
      <w:r>
        <w:rPr>
          <w:rFonts w:hint="eastAsia"/>
          <w:color w:val="auto"/>
          <w:highlight w:val="none"/>
          <w:lang w:val="en-US" w:eastAsia="zh-CN"/>
        </w:rPr>
        <w:t>大于等于</w:t>
      </w:r>
      <w:r>
        <w:rPr>
          <w:color w:val="auto"/>
          <w:highlight w:val="none"/>
        </w:rPr>
        <w:t>95%；依据《项目满意度调查问卷》，反映出</w:t>
      </w:r>
      <w:r>
        <w:rPr>
          <w:rFonts w:hint="eastAsia"/>
          <w:color w:val="auto"/>
          <w:highlight w:val="none"/>
        </w:rPr>
        <w:t>受益脱贫人口满意度</w:t>
      </w:r>
      <w:r>
        <w:rPr>
          <w:color w:val="auto"/>
          <w:highlight w:val="none"/>
        </w:rPr>
        <w:t>达到</w:t>
      </w:r>
      <w:r>
        <w:rPr>
          <w:rFonts w:hint="eastAsia"/>
          <w:color w:val="auto"/>
          <w:highlight w:val="none"/>
          <w:lang w:val="en-US" w:eastAsia="zh-CN"/>
        </w:rPr>
        <w:t>95</w:t>
      </w:r>
      <w:r>
        <w:rPr>
          <w:color w:val="auto"/>
          <w:highlight w:val="none"/>
        </w:rPr>
        <w:t>%。所设分值为10分，实际得分为10分。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偏离绩效目标的原因和下一步改进措施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本项目各项指标均已达到年初设定指标目标，项目绩效指标总体完成率100%，无偏离。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绩效自评结果拟应用和公开情况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  <w:highlight w:val="none"/>
          <w:lang w:eastAsia="zh-CN"/>
        </w:rPr>
        <w:t>阿热勒乡苏盖提力克示范村建设项目（农产品加工车间建设）</w:t>
      </w:r>
      <w:r>
        <w:rPr>
          <w:color w:val="auto"/>
          <w:highlight w:val="none"/>
        </w:rPr>
        <w:t>整体进行客观、科学、合理评价。经综合评价，项目预算执行率</w:t>
      </w:r>
      <w:r>
        <w:rPr>
          <w:rFonts w:hint="eastAsia"/>
          <w:color w:val="auto"/>
          <w:highlight w:val="none"/>
          <w:lang w:val="en-US" w:eastAsia="zh-CN"/>
        </w:rPr>
        <w:t>93.16%</w:t>
      </w:r>
      <w:r>
        <w:rPr>
          <w:color w:val="auto"/>
          <w:highlight w:val="none"/>
        </w:rPr>
        <w:t>，项目绩效指标总体完成率为100%，项目最终得分为：</w:t>
      </w:r>
      <w:r>
        <w:rPr>
          <w:rFonts w:hint="eastAsia"/>
          <w:color w:val="auto"/>
          <w:highlight w:val="none"/>
          <w:lang w:val="en-US" w:eastAsia="zh-CN"/>
        </w:rPr>
        <w:t>99.32分</w:t>
      </w:r>
      <w:r>
        <w:rPr>
          <w:color w:val="auto"/>
          <w:highlight w:val="none"/>
        </w:rPr>
        <w:t>，评价等级为优。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绩效自评结果拟应用情况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项目绩效公告公示情况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color w:val="auto"/>
          <w:highlight w:val="none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3325FC"/>
    <w:multiLevelType w:val="singleLevel"/>
    <w:tmpl w:val="E63325F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NjgzOWE5ZWMwY2JiODhkZjE5ZGMxNGU4MTBiMDEzNDAifQ=="/>
  </w:docVars>
  <w:rsids>
    <w:rsidRoot w:val="00E13317"/>
    <w:rsid w:val="0013583A"/>
    <w:rsid w:val="00285048"/>
    <w:rsid w:val="00296B79"/>
    <w:rsid w:val="004308AE"/>
    <w:rsid w:val="00505730"/>
    <w:rsid w:val="00545A1B"/>
    <w:rsid w:val="00692645"/>
    <w:rsid w:val="00761C21"/>
    <w:rsid w:val="00854A88"/>
    <w:rsid w:val="008B100D"/>
    <w:rsid w:val="008B2C23"/>
    <w:rsid w:val="009A06BD"/>
    <w:rsid w:val="00C60888"/>
    <w:rsid w:val="00D5312A"/>
    <w:rsid w:val="00E13317"/>
    <w:rsid w:val="05B9109E"/>
    <w:rsid w:val="0DFB574C"/>
    <w:rsid w:val="0ED22BF3"/>
    <w:rsid w:val="16BF6F8E"/>
    <w:rsid w:val="185F252F"/>
    <w:rsid w:val="1C524027"/>
    <w:rsid w:val="32C428D3"/>
    <w:rsid w:val="433B4E78"/>
    <w:rsid w:val="43DE2931"/>
    <w:rsid w:val="4F971A17"/>
    <w:rsid w:val="50884351"/>
    <w:rsid w:val="52E76D29"/>
    <w:rsid w:val="54390279"/>
    <w:rsid w:val="5A2D317E"/>
    <w:rsid w:val="682F4CFF"/>
    <w:rsid w:val="6AF34B93"/>
    <w:rsid w:val="75FB56EF"/>
    <w:rsid w:val="781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4059</Words>
  <Characters>4451</Characters>
  <Lines>35</Lines>
  <Paragraphs>10</Paragraphs>
  <TotalTime>0</TotalTime>
  <ScaleCrop>false</ScaleCrop>
  <LinksUpToDate>false</LinksUpToDate>
  <CharactersWithSpaces>4454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2022-03-20T17:28:00Z</dcterms:created>
  <dc:creator>Xueyang</dc:creator>
  <cp:lastModifiedBy>.</cp:lastModifiedBy>
  <dcterms:modified xsi:type="dcterms:W3CDTF">2023-02-24T08:25:18Z</dcterms:modified>
  <dc:title>D:\桌面\318张\10.林果业提质增效项目（巴旦姆）自评报告.xlsx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1B5D9C4BD7AF4B1CA7E23D020611440D</vt:lpwstr>
  </property>
</Properties>
</file>