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ind w:firstLine="643"/>
        <w:jc w:val="center"/>
        <w:rPr>
          <w:rFonts w:ascii="方正仿宋简体" w:hAnsi="方正仿宋简体" w:eastAsia="方正仿宋简体" w:cs="方正仿宋简体"/>
          <w:b/>
          <w:kern w:val="0"/>
          <w:sz w:val="32"/>
          <w:szCs w:val="32"/>
          <w:lang w:bidi="en-US"/>
        </w:rPr>
      </w:pPr>
      <w:bookmarkStart w:id="86" w:name="_GoBack"/>
      <w:bookmarkEnd w:id="86"/>
    </w:p>
    <w:p>
      <w:pPr>
        <w:spacing w:line="620" w:lineRule="exact"/>
        <w:ind w:firstLine="643"/>
        <w:jc w:val="center"/>
        <w:rPr>
          <w:rFonts w:ascii="方正仿宋简体" w:hAnsi="方正仿宋简体" w:eastAsia="方正仿宋简体" w:cs="方正仿宋简体"/>
          <w:b/>
          <w:kern w:val="0"/>
          <w:sz w:val="32"/>
          <w:szCs w:val="32"/>
          <w:lang w:bidi="en-US"/>
        </w:rPr>
      </w:pPr>
    </w:p>
    <w:p>
      <w:pPr>
        <w:spacing w:line="620" w:lineRule="exact"/>
        <w:ind w:firstLine="0" w:firstLineChars="0"/>
        <w:rPr>
          <w:rFonts w:ascii="方正仿宋简体" w:hAnsi="方正仿宋简体" w:eastAsia="方正仿宋简体" w:cs="方正仿宋简体"/>
          <w:b/>
          <w:kern w:val="0"/>
          <w:sz w:val="32"/>
          <w:szCs w:val="32"/>
          <w:lang w:bidi="en-US"/>
        </w:rPr>
      </w:pPr>
    </w:p>
    <w:p>
      <w:pPr>
        <w:spacing w:before="120" w:after="120" w:line="620" w:lineRule="exact"/>
        <w:ind w:firstLine="883"/>
        <w:jc w:val="center"/>
        <w:rPr>
          <w:rFonts w:ascii="黑体" w:hAnsi="黑体" w:eastAsia="黑体"/>
          <w:b/>
          <w:sz w:val="44"/>
          <w:szCs w:val="44"/>
        </w:rPr>
      </w:pPr>
      <w:bookmarkStart w:id="0" w:name="_Toc5869"/>
      <w:bookmarkStart w:id="1" w:name="_Toc29289"/>
      <w:bookmarkStart w:id="2" w:name="_Toc17664"/>
      <w:bookmarkStart w:id="3" w:name="_Toc12068"/>
      <w:bookmarkStart w:id="4" w:name="_Toc30103"/>
      <w:r>
        <w:rPr>
          <w:rFonts w:hint="eastAsia" w:ascii="黑体" w:hAnsi="黑体" w:eastAsia="黑体"/>
          <w:b/>
          <w:sz w:val="44"/>
          <w:szCs w:val="44"/>
        </w:rPr>
        <w:t>项目</w:t>
      </w:r>
      <w:bookmarkEnd w:id="0"/>
      <w:bookmarkEnd w:id="1"/>
      <w:bookmarkEnd w:id="2"/>
      <w:bookmarkEnd w:id="3"/>
      <w:bookmarkEnd w:id="4"/>
      <w:bookmarkStart w:id="5" w:name="_Toc10502"/>
      <w:bookmarkStart w:id="6" w:name="_Toc30866"/>
      <w:bookmarkStart w:id="7" w:name="_Toc13016"/>
      <w:bookmarkStart w:id="8" w:name="_Toc15282"/>
      <w:r>
        <w:rPr>
          <w:rFonts w:hint="eastAsia" w:ascii="黑体" w:hAnsi="黑体" w:eastAsia="黑体"/>
          <w:b/>
          <w:sz w:val="44"/>
          <w:szCs w:val="44"/>
        </w:rPr>
        <w:t>支出绩效自评报告</w:t>
      </w:r>
      <w:bookmarkEnd w:id="5"/>
      <w:bookmarkEnd w:id="6"/>
      <w:bookmarkEnd w:id="7"/>
      <w:bookmarkEnd w:id="8"/>
    </w:p>
    <w:p>
      <w:pPr>
        <w:spacing w:line="620" w:lineRule="exact"/>
        <w:ind w:firstLine="643"/>
        <w:jc w:val="center"/>
        <w:rPr>
          <w:rFonts w:ascii="方正仿宋简体" w:hAnsi="方正仿宋简体" w:eastAsia="方正仿宋简体" w:cs="方正仿宋简体"/>
          <w:b/>
          <w:kern w:val="0"/>
          <w:sz w:val="32"/>
          <w:szCs w:val="32"/>
          <w:lang w:bidi="en-US"/>
        </w:rPr>
      </w:pPr>
    </w:p>
    <w:p>
      <w:pPr>
        <w:spacing w:line="620" w:lineRule="exact"/>
        <w:ind w:firstLine="643"/>
        <w:jc w:val="center"/>
        <w:rPr>
          <w:rFonts w:ascii="方正仿宋简体" w:hAnsi="方正仿宋简体" w:eastAsia="方正仿宋简体" w:cs="方正仿宋简体"/>
          <w:b/>
          <w:kern w:val="0"/>
          <w:sz w:val="32"/>
          <w:szCs w:val="32"/>
          <w:lang w:bidi="en-US"/>
        </w:rPr>
      </w:pPr>
    </w:p>
    <w:p>
      <w:pPr>
        <w:spacing w:line="620" w:lineRule="exact"/>
        <w:ind w:firstLine="643"/>
        <w:jc w:val="center"/>
        <w:rPr>
          <w:rFonts w:ascii="方正仿宋简体" w:hAnsi="方正仿宋简体" w:eastAsia="方正仿宋简体" w:cs="方正仿宋简体"/>
          <w:b/>
          <w:kern w:val="0"/>
          <w:sz w:val="32"/>
          <w:szCs w:val="32"/>
          <w:lang w:bidi="en-US"/>
        </w:rPr>
      </w:pPr>
    </w:p>
    <w:p>
      <w:pPr>
        <w:spacing w:line="620" w:lineRule="exact"/>
        <w:ind w:firstLine="643"/>
        <w:jc w:val="center"/>
        <w:rPr>
          <w:rFonts w:ascii="方正仿宋简体" w:hAnsi="方正仿宋简体" w:eastAsia="方正仿宋简体" w:cs="方正仿宋简体"/>
          <w:b/>
          <w:kern w:val="0"/>
          <w:sz w:val="32"/>
          <w:szCs w:val="32"/>
          <w:lang w:bidi="en-US"/>
        </w:rPr>
      </w:pPr>
    </w:p>
    <w:p>
      <w:pPr>
        <w:spacing w:line="620" w:lineRule="exact"/>
        <w:ind w:firstLine="643"/>
        <w:jc w:val="center"/>
        <w:rPr>
          <w:rFonts w:ascii="方正仿宋简体" w:hAnsi="方正仿宋简体" w:eastAsia="方正仿宋简体" w:cs="方正仿宋简体"/>
          <w:b/>
          <w:kern w:val="0"/>
          <w:sz w:val="32"/>
          <w:szCs w:val="32"/>
          <w:lang w:bidi="en-US"/>
        </w:rPr>
      </w:pPr>
    </w:p>
    <w:p>
      <w:pPr>
        <w:spacing w:line="620" w:lineRule="exact"/>
        <w:ind w:firstLine="643"/>
        <w:jc w:val="center"/>
        <w:rPr>
          <w:rFonts w:ascii="方正仿宋简体" w:hAnsi="方正仿宋简体" w:eastAsia="方正仿宋简体" w:cs="方正仿宋简体"/>
          <w:b/>
          <w:kern w:val="0"/>
          <w:sz w:val="32"/>
          <w:szCs w:val="32"/>
          <w:lang w:bidi="en-US"/>
        </w:rPr>
      </w:pPr>
    </w:p>
    <w:p>
      <w:pPr>
        <w:spacing w:line="620" w:lineRule="exact"/>
        <w:ind w:firstLine="643"/>
        <w:jc w:val="center"/>
        <w:rPr>
          <w:rFonts w:ascii="方正仿宋简体" w:hAnsi="方正仿宋简体" w:eastAsia="方正仿宋简体" w:cs="方正仿宋简体"/>
          <w:b/>
          <w:kern w:val="0"/>
          <w:sz w:val="32"/>
          <w:szCs w:val="32"/>
          <w:lang w:bidi="en-US"/>
        </w:rPr>
      </w:pPr>
    </w:p>
    <w:p>
      <w:pPr>
        <w:spacing w:line="480" w:lineRule="auto"/>
        <w:ind w:left="1375" w:leftChars="491" w:firstLine="0" w:firstLineChars="0"/>
        <w:jc w:val="left"/>
        <w:rPr>
          <w:rFonts w:ascii="仿宋_GB2312" w:hAnsi="仿宋_GB2312" w:cs="仿宋_GB2312"/>
          <w:kern w:val="0"/>
          <w:sz w:val="32"/>
          <w:szCs w:val="32"/>
          <w:lang w:bidi="en-US"/>
        </w:rPr>
      </w:pPr>
      <w:r>
        <w:rPr>
          <w:rFonts w:hint="eastAsia" w:ascii="仿宋_GB2312" w:hAnsi="仿宋_GB2312" w:cs="仿宋_GB2312"/>
          <w:kern w:val="0"/>
          <w:sz w:val="32"/>
          <w:szCs w:val="32"/>
          <w:lang w:bidi="en-US"/>
        </w:rPr>
        <w:t>项目名称：</w:t>
      </w:r>
      <w:bookmarkStart w:id="9" w:name="_Hlk126141865"/>
      <w:r>
        <w:rPr>
          <w:rFonts w:hint="eastAsia" w:ascii="仿宋_GB2312" w:hAnsi="仿宋_GB2312" w:cs="仿宋_GB2312"/>
          <w:kern w:val="0"/>
          <w:sz w:val="32"/>
          <w:szCs w:val="32"/>
          <w:lang w:bidi="en-US"/>
        </w:rPr>
        <w:t>喀什地区莎车县艾牙河达木斯乡1村、8村和霍什拉甫乡11村、12村中小河流治理工程</w:t>
      </w:r>
      <w:bookmarkEnd w:id="9"/>
    </w:p>
    <w:p>
      <w:pPr>
        <w:spacing w:line="480" w:lineRule="auto"/>
        <w:ind w:firstLine="1411" w:firstLineChars="441"/>
        <w:jc w:val="left"/>
        <w:rPr>
          <w:rFonts w:ascii="仿宋_GB2312" w:hAnsi="仿宋_GB2312" w:cs="仿宋_GB2312"/>
          <w:kern w:val="0"/>
          <w:sz w:val="32"/>
          <w:szCs w:val="32"/>
          <w:lang w:bidi="en-US"/>
        </w:rPr>
      </w:pPr>
      <w:r>
        <w:rPr>
          <w:rFonts w:hint="eastAsia" w:ascii="仿宋_GB2312" w:hAnsi="仿宋_GB2312" w:cs="仿宋_GB2312"/>
          <w:kern w:val="0"/>
          <w:sz w:val="32"/>
          <w:szCs w:val="32"/>
          <w:lang w:bidi="en-US"/>
        </w:rPr>
        <w:t>项目单位：莎车县水管总站</w:t>
      </w:r>
    </w:p>
    <w:p>
      <w:pPr>
        <w:spacing w:line="480" w:lineRule="auto"/>
        <w:ind w:firstLine="1411" w:firstLineChars="441"/>
        <w:jc w:val="left"/>
        <w:rPr>
          <w:rFonts w:ascii="仿宋_GB2312" w:hAnsi="仿宋_GB2312" w:cs="仿宋_GB2312"/>
          <w:kern w:val="0"/>
          <w:sz w:val="32"/>
          <w:szCs w:val="32"/>
          <w:lang w:bidi="en-US"/>
        </w:rPr>
      </w:pPr>
      <w:r>
        <w:rPr>
          <w:rFonts w:hint="eastAsia" w:ascii="仿宋_GB2312" w:hAnsi="仿宋_GB2312" w:cs="仿宋_GB2312"/>
          <w:kern w:val="0"/>
          <w:sz w:val="32"/>
          <w:szCs w:val="32"/>
          <w:lang w:bidi="en-US"/>
        </w:rPr>
        <w:t>主管部门：莎车县水利局</w:t>
      </w:r>
    </w:p>
    <w:p>
      <w:pPr>
        <w:spacing w:line="480" w:lineRule="auto"/>
        <w:ind w:firstLine="1411" w:firstLineChars="441"/>
        <w:jc w:val="left"/>
        <w:rPr>
          <w:rFonts w:ascii="仿宋_GB2312" w:hAnsi="仿宋_GB2312" w:cs="仿宋_GB2312"/>
          <w:kern w:val="0"/>
          <w:sz w:val="32"/>
          <w:szCs w:val="32"/>
          <w:lang w:bidi="en-US"/>
        </w:rPr>
      </w:pPr>
      <w:r>
        <w:rPr>
          <w:rFonts w:hint="eastAsia" w:ascii="仿宋_GB2312" w:hAnsi="仿宋_GB2312" w:cs="仿宋_GB2312"/>
          <w:kern w:val="0"/>
          <w:sz w:val="32"/>
          <w:szCs w:val="32"/>
          <w:lang w:bidi="en-US"/>
        </w:rPr>
        <w:t>项目负责人：陆政</w:t>
      </w:r>
    </w:p>
    <w:p>
      <w:pPr>
        <w:spacing w:line="480" w:lineRule="auto"/>
        <w:ind w:firstLine="1411" w:firstLineChars="441"/>
        <w:jc w:val="left"/>
        <w:rPr>
          <w:rFonts w:ascii="仿宋_GB2312" w:hAnsi="仿宋_GB2312" w:cs="仿宋_GB2312"/>
          <w:kern w:val="0"/>
          <w:sz w:val="32"/>
          <w:szCs w:val="32"/>
          <w:lang w:bidi="en-US"/>
        </w:rPr>
      </w:pPr>
      <w:r>
        <w:rPr>
          <w:rFonts w:hint="eastAsia" w:ascii="仿宋_GB2312" w:hAnsi="仿宋_GB2312" w:cs="仿宋_GB2312"/>
          <w:kern w:val="0"/>
          <w:sz w:val="32"/>
          <w:szCs w:val="32"/>
          <w:lang w:bidi="en-US"/>
        </w:rPr>
        <w:t>填报时间：2023年</w:t>
      </w:r>
      <w:r>
        <w:rPr>
          <w:rFonts w:ascii="仿宋_GB2312" w:hAnsi="仿宋_GB2312" w:cs="仿宋_GB2312"/>
          <w:kern w:val="0"/>
          <w:sz w:val="32"/>
          <w:szCs w:val="32"/>
          <w:lang w:bidi="en-US"/>
        </w:rPr>
        <w:t>3</w:t>
      </w:r>
      <w:r>
        <w:rPr>
          <w:rFonts w:hint="eastAsia" w:ascii="仿宋_GB2312" w:hAnsi="仿宋_GB2312" w:cs="仿宋_GB2312"/>
          <w:kern w:val="0"/>
          <w:sz w:val="32"/>
          <w:szCs w:val="32"/>
          <w:lang w:bidi="en-US"/>
        </w:rPr>
        <w:t>月</w:t>
      </w:r>
      <w:r>
        <w:rPr>
          <w:rFonts w:ascii="仿宋_GB2312" w:hAnsi="仿宋_GB2312" w:cs="仿宋_GB2312"/>
          <w:color w:val="000000" w:themeColor="text1"/>
          <w:kern w:val="0"/>
          <w:sz w:val="32"/>
          <w:szCs w:val="32"/>
          <w:lang w:bidi="en-US"/>
          <w14:textFill>
            <w14:solidFill>
              <w14:schemeClr w14:val="tx1"/>
            </w14:solidFill>
          </w14:textFill>
        </w:rPr>
        <w:t>22</w:t>
      </w:r>
      <w:r>
        <w:rPr>
          <w:rFonts w:hint="eastAsia" w:ascii="仿宋_GB2312" w:hAnsi="仿宋_GB2312" w:cs="仿宋_GB2312"/>
          <w:kern w:val="0"/>
          <w:sz w:val="32"/>
          <w:szCs w:val="32"/>
          <w:lang w:bidi="en-US"/>
        </w:rPr>
        <w:t>日</w:t>
      </w:r>
    </w:p>
    <w:p>
      <w:pPr>
        <w:spacing w:line="620" w:lineRule="exact"/>
        <w:ind w:firstLine="640"/>
        <w:jc w:val="left"/>
        <w:rPr>
          <w:rFonts w:ascii="方正仿宋简体" w:hAnsi="方正仿宋简体" w:eastAsia="方正仿宋简体" w:cs="方正仿宋简体"/>
          <w:kern w:val="0"/>
          <w:sz w:val="32"/>
          <w:szCs w:val="32"/>
          <w:lang w:bidi="en-US"/>
        </w:rPr>
      </w:pPr>
      <w:r>
        <w:rPr>
          <w:rFonts w:hint="eastAsia" w:ascii="方正仿宋简体" w:hAnsi="方正仿宋简体" w:eastAsia="方正仿宋简体" w:cs="方正仿宋简体"/>
          <w:kern w:val="0"/>
          <w:sz w:val="32"/>
          <w:szCs w:val="32"/>
          <w:lang w:bidi="en-US"/>
        </w:rPr>
        <w:br w:type="page"/>
      </w:r>
    </w:p>
    <w:p>
      <w:pPr>
        <w:pStyle w:val="7"/>
        <w:spacing w:line="560" w:lineRule="exact"/>
        <w:ind w:firstLine="636"/>
        <w:rPr>
          <w:rFonts w:ascii="方正仿宋_GBK" w:hAnsi="方正仿宋_GBK" w:eastAsia="方正仿宋_GBK" w:cs="方正仿宋_GBK"/>
        </w:rPr>
      </w:pPr>
      <w:bookmarkStart w:id="10" w:name="_Toc31415"/>
      <w:bookmarkStart w:id="11" w:name="_Toc21964"/>
      <w:bookmarkStart w:id="12" w:name="_Toc7983"/>
      <w:r>
        <w:rPr>
          <w:rFonts w:hint="eastAsia" w:ascii="方正仿宋_GBK" w:hAnsi="方正仿宋_GBK" w:eastAsia="方正仿宋_GBK" w:cs="方正仿宋_GBK"/>
          <w:spacing w:val="-1"/>
        </w:rPr>
        <w:t>为了贯彻落实全面推进预算绩效管理工作的要求，完善部</w:t>
      </w:r>
      <w:r>
        <w:rPr>
          <w:rFonts w:hint="eastAsia" w:ascii="方正仿宋_GBK" w:hAnsi="方正仿宋_GBK" w:eastAsia="方正仿宋_GBK" w:cs="方正仿宋_GBK"/>
          <w:spacing w:val="-15"/>
          <w:w w:val="95"/>
        </w:rPr>
        <w:t>门预算管理，强化预算支出责任，提高财政资金的使用效益，我单位</w:t>
      </w:r>
      <w:r>
        <w:rPr>
          <w:rFonts w:hint="eastAsia" w:ascii="方正仿宋_GBK" w:hAnsi="方正仿宋_GBK" w:eastAsia="方正仿宋_GBK" w:cs="方正仿宋_GBK"/>
          <w:spacing w:val="6"/>
        </w:rPr>
        <w:t>根据《中华人民共和国预算</w:t>
      </w:r>
      <w:r>
        <w:rPr>
          <w:rFonts w:hint="eastAsia" w:ascii="方正仿宋_GBK" w:hAnsi="方正仿宋_GBK" w:eastAsia="方正仿宋_GBK" w:cs="方正仿宋_GBK"/>
          <w:spacing w:val="-14"/>
          <w:w w:val="95"/>
        </w:rPr>
        <w:t>法》、《中共中央国务院关于全面实施预算绩效管理的意见》（中发〔2018〕34号）、《自治区党委自治区人民政府关于全面实施预算绩效管理的实施意见》（新党发〔2018〕30号）、《项目支出绩效自评管理办法》（财预〔2020〕10号）、《自治区财政支出绩效自评管理暂行办法》（新财预〔2018〕1</w:t>
      </w:r>
      <w:r>
        <w:rPr>
          <w:rFonts w:hint="eastAsia" w:ascii="方正仿宋_GBK" w:hAnsi="方正仿宋_GBK" w:eastAsia="方正仿宋_GBK" w:cs="方正仿宋_GBK"/>
          <w:spacing w:val="-14"/>
          <w:w w:val="95"/>
          <w:lang w:val="en-US"/>
        </w:rPr>
        <w:t>89</w:t>
      </w:r>
      <w:r>
        <w:rPr>
          <w:rFonts w:hint="eastAsia" w:ascii="方正仿宋_GBK" w:hAnsi="方正仿宋_GBK" w:eastAsia="方正仿宋_GBK" w:cs="方正仿宋_GBK"/>
          <w:spacing w:val="-14"/>
          <w:w w:val="95"/>
        </w:rPr>
        <w:t>号）等政策文件规定，对</w:t>
      </w:r>
      <w:r>
        <w:rPr>
          <w:rFonts w:hint="eastAsia" w:ascii="方正仿宋_GBK" w:hAnsi="方正仿宋_GBK" w:eastAsia="方正仿宋_GBK" w:cs="方正仿宋_GBK"/>
          <w:spacing w:val="-14"/>
          <w:w w:val="95"/>
          <w:lang w:val="en-US"/>
        </w:rPr>
        <w:t>喀什地区莎车县艾牙河达木斯乡1村、8村和霍什拉甫乡11村、12村中小河流治理工程项目</w:t>
      </w:r>
      <w:r>
        <w:rPr>
          <w:rFonts w:hint="eastAsia" w:ascii="方正仿宋_GBK" w:hAnsi="方正仿宋_GBK" w:eastAsia="方正仿宋_GBK" w:cs="方正仿宋_GBK"/>
          <w:spacing w:val="-8"/>
        </w:rPr>
        <w:t>开展</w:t>
      </w:r>
      <w:r>
        <w:rPr>
          <w:rFonts w:hint="eastAsia" w:ascii="方正仿宋_GBK" w:hAnsi="方正仿宋_GBK" w:eastAsia="方正仿宋_GBK" w:cs="方正仿宋_GBK"/>
        </w:rPr>
        <w:t>绩效自评工作，撰写绩效自评报告。</w:t>
      </w:r>
    </w:p>
    <w:p>
      <w:pPr>
        <w:pStyle w:val="7"/>
        <w:spacing w:line="560" w:lineRule="exact"/>
        <w:ind w:right="221" w:firstLine="640"/>
        <w:rPr>
          <w:rFonts w:ascii="方正仿宋_GBK" w:hAnsi="方正仿宋_GBK" w:eastAsia="方正仿宋_GBK" w:cs="方正仿宋_GBK"/>
          <w:lang w:val="en-US"/>
        </w:rPr>
      </w:pPr>
      <w:r>
        <w:rPr>
          <w:rFonts w:hint="eastAsia" w:ascii="方正仿宋_GBK" w:hAnsi="方正仿宋_GBK" w:eastAsia="方正仿宋_GBK" w:cs="方正仿宋_GBK"/>
        </w:rPr>
        <w:t>现将</w:t>
      </w:r>
      <w:r>
        <w:rPr>
          <w:rFonts w:hint="eastAsia" w:ascii="方正仿宋_GBK" w:hAnsi="方正仿宋_GBK" w:eastAsia="方正仿宋_GBK" w:cs="方正仿宋_GBK"/>
          <w:lang w:val="en-US"/>
        </w:rPr>
        <w:t>喀什地区莎车县艾牙河达木斯乡1村、8村和霍什拉甫乡11村、12村中小河流治理工程项目的绩效自评情况汇报如下：</w:t>
      </w:r>
    </w:p>
    <w:p>
      <w:pPr>
        <w:pStyle w:val="3"/>
        <w:spacing w:before="0" w:after="0" w:line="560" w:lineRule="exact"/>
        <w:ind w:firstLine="643"/>
        <w:rPr>
          <w:rFonts w:ascii="黑体" w:hAnsi="黑体" w:eastAsia="黑体"/>
          <w:sz w:val="32"/>
          <w:szCs w:val="32"/>
        </w:rPr>
      </w:pPr>
      <w:bookmarkStart w:id="13" w:name="_Toc3189"/>
      <w:bookmarkStart w:id="14" w:name="_Toc20061"/>
      <w:bookmarkStart w:id="15" w:name="_Toc27068"/>
      <w:r>
        <w:rPr>
          <w:rFonts w:hint="eastAsia" w:ascii="黑体" w:hAnsi="黑体" w:eastAsia="黑体"/>
          <w:sz w:val="32"/>
          <w:szCs w:val="32"/>
        </w:rPr>
        <w:t>一、基本情况</w:t>
      </w:r>
      <w:bookmarkEnd w:id="13"/>
      <w:bookmarkEnd w:id="14"/>
      <w:bookmarkEnd w:id="15"/>
    </w:p>
    <w:p>
      <w:pPr>
        <w:pStyle w:val="3"/>
        <w:spacing w:before="0" w:after="0" w:line="560" w:lineRule="exact"/>
        <w:ind w:firstLine="640"/>
        <w:rPr>
          <w:rFonts w:ascii="方正仿宋_GBK" w:hAnsi="方正仿宋_GBK" w:eastAsia="方正仿宋_GBK" w:cs="方正仿宋_GBK"/>
          <w:sz w:val="32"/>
          <w:szCs w:val="32"/>
        </w:rPr>
      </w:pPr>
      <w:bookmarkStart w:id="16" w:name="_Toc30475"/>
      <w:bookmarkStart w:id="17" w:name="_Toc26312"/>
      <w:bookmarkStart w:id="18" w:name="_Toc24443"/>
      <w:r>
        <w:rPr>
          <w:rFonts w:hint="eastAsia" w:ascii="方正仿宋_GBK" w:hAnsi="方正仿宋_GBK" w:eastAsia="方正仿宋_GBK" w:cs="方正仿宋_GBK"/>
          <w:sz w:val="32"/>
          <w:szCs w:val="32"/>
        </w:rPr>
        <w:t>（一）项目概况</w:t>
      </w:r>
      <w:bookmarkEnd w:id="10"/>
      <w:bookmarkEnd w:id="11"/>
      <w:bookmarkEnd w:id="12"/>
      <w:bookmarkEnd w:id="16"/>
      <w:bookmarkEnd w:id="17"/>
      <w:bookmarkEnd w:id="18"/>
    </w:p>
    <w:p>
      <w:pPr>
        <w:pStyle w:val="3"/>
        <w:spacing w:before="0" w:after="0" w:line="560" w:lineRule="exact"/>
        <w:ind w:firstLine="640"/>
        <w:rPr>
          <w:rFonts w:ascii="方正楷体_GBK" w:hAnsi="方正楷体_GBK" w:eastAsia="方正楷体_GBK" w:cs="方正楷体_GBK"/>
          <w:sz w:val="32"/>
          <w:szCs w:val="32"/>
        </w:rPr>
      </w:pPr>
      <w:bookmarkStart w:id="19" w:name="_Toc3852"/>
      <w:bookmarkStart w:id="20" w:name="_Toc29206"/>
      <w:bookmarkStart w:id="21" w:name="_Toc10012"/>
      <w:bookmarkStart w:id="22" w:name="_Toc22727"/>
      <w:bookmarkStart w:id="23" w:name="_Toc1361"/>
      <w:r>
        <w:rPr>
          <w:rFonts w:hint="eastAsia" w:ascii="方正楷体_GBK" w:hAnsi="方正楷体_GBK" w:eastAsia="方正楷体_GBK" w:cs="方正楷体_GBK"/>
          <w:sz w:val="32"/>
          <w:szCs w:val="32"/>
        </w:rPr>
        <w:t>1.项目背景</w:t>
      </w:r>
      <w:bookmarkEnd w:id="19"/>
      <w:bookmarkEnd w:id="20"/>
      <w:bookmarkEnd w:id="21"/>
      <w:bookmarkEnd w:id="22"/>
      <w:bookmarkEnd w:id="23"/>
    </w:p>
    <w:p>
      <w:pPr>
        <w:pStyle w:val="7"/>
        <w:spacing w:line="560" w:lineRule="exact"/>
        <w:ind w:right="221" w:firstLine="636"/>
        <w:rPr>
          <w:rFonts w:ascii="方正仿宋_GBK" w:hAnsi="方正仿宋_GBK" w:eastAsia="方正仿宋_GBK" w:cs="方正仿宋_GBK"/>
          <w:spacing w:val="-1"/>
          <w:lang w:val="en-US"/>
        </w:rPr>
      </w:pPr>
      <w:bookmarkStart w:id="24" w:name="_Toc344"/>
      <w:bookmarkStart w:id="25" w:name="_Toc21879"/>
      <w:bookmarkStart w:id="26" w:name="_Toc7734"/>
      <w:bookmarkStart w:id="27" w:name="_Toc24534"/>
      <w:r>
        <w:rPr>
          <w:rFonts w:hint="eastAsia" w:ascii="方正仿宋_GBK" w:hAnsi="方正仿宋_GBK" w:eastAsia="方正仿宋_GBK" w:cs="方正仿宋_GBK"/>
          <w:spacing w:val="-1"/>
          <w:lang w:val="en-US"/>
        </w:rPr>
        <w:t>喀什地区莎车县艾牙河达木斯乡1村、8村和霍什拉甫乡11村、12村中小河流治理工程项目是依据《关于水利基础设施建设防渗渠项目可行性研究报告的批复》（莎发改字〔2021〕633号）文件政策的要求，保护莎车县达木斯乡1村、8村和霍什拉甫乡11 村、12 村共 3567人、2751 亩耕地，保证该地区各族人民的人身财产安全，根据本县水利设施建设情况，结合本地区的发展需求，经过调查了解、可研分析，申请实施的。</w:t>
      </w:r>
    </w:p>
    <w:p>
      <w:pPr>
        <w:pStyle w:val="3"/>
        <w:spacing w:before="0" w:after="0" w:line="560" w:lineRule="exact"/>
        <w:ind w:firstLine="640"/>
        <w:rPr>
          <w:rFonts w:ascii="方正楷体_GBK" w:hAnsi="方正楷体_GBK" w:eastAsia="方正楷体_GBK" w:cs="方正楷体_GBK"/>
          <w:sz w:val="32"/>
          <w:szCs w:val="32"/>
        </w:rPr>
      </w:pPr>
      <w:bookmarkStart w:id="28" w:name="_Toc4446"/>
      <w:r>
        <w:rPr>
          <w:rFonts w:hint="eastAsia" w:ascii="方正楷体_GBK" w:hAnsi="方正楷体_GBK" w:eastAsia="方正楷体_GBK" w:cs="方正楷体_GBK"/>
          <w:sz w:val="32"/>
          <w:szCs w:val="32"/>
        </w:rPr>
        <w:t>2.主要内容及实施情况</w:t>
      </w:r>
      <w:bookmarkEnd w:id="24"/>
      <w:bookmarkEnd w:id="25"/>
      <w:bookmarkEnd w:id="26"/>
      <w:bookmarkEnd w:id="27"/>
      <w:bookmarkEnd w:id="28"/>
    </w:p>
    <w:p>
      <w:pPr>
        <w:spacing w:line="560" w:lineRule="exact"/>
        <w:ind w:firstLine="636"/>
        <w:rPr>
          <w:rFonts w:ascii="方正仿宋_GBK" w:hAnsi="方正仿宋_GBK" w:eastAsia="方正仿宋_GBK" w:cs="方正仿宋_GBK"/>
          <w:spacing w:val="-1"/>
          <w:sz w:val="32"/>
          <w:szCs w:val="32"/>
        </w:rPr>
      </w:pPr>
      <w:r>
        <w:rPr>
          <w:rFonts w:hint="eastAsia" w:ascii="方正仿宋_GBK" w:hAnsi="方正仿宋_GBK" w:eastAsia="方正仿宋_GBK" w:cs="方正仿宋_GBK"/>
          <w:spacing w:val="-1"/>
          <w:sz w:val="32"/>
          <w:szCs w:val="32"/>
        </w:rPr>
        <w:t>根据《关于水利基础设施建设防渗渠项目可行性研究报告的批复》（莎发改字〔2021〕633号）文件要求，经单位集体研究决定实施喀什地区莎车县艾牙河达木斯乡1村、8村和霍什拉甫乡11村、12村中小河流治理工程项目，并制定了喀什地区莎车县艾牙河达木斯乡1村、8村和霍什拉甫乡11村、12村中小河流治理工程项目实施方案。</w:t>
      </w:r>
    </w:p>
    <w:p>
      <w:pPr>
        <w:spacing w:line="560" w:lineRule="exact"/>
        <w:ind w:firstLine="636"/>
        <w:rPr>
          <w:rFonts w:ascii="方正仿宋_GBK" w:hAnsi="方正仿宋_GBK" w:eastAsia="方正仿宋_GBK" w:cs="方正仿宋_GBK"/>
          <w:spacing w:val="-1"/>
          <w:sz w:val="32"/>
          <w:szCs w:val="32"/>
          <w:lang w:bidi="zh-CN"/>
        </w:rPr>
      </w:pPr>
      <w:r>
        <w:rPr>
          <w:rFonts w:hint="eastAsia" w:ascii="方正仿宋_GBK" w:hAnsi="方正仿宋_GBK" w:eastAsia="方正仿宋_GBK" w:cs="方正仿宋_GBK"/>
          <w:spacing w:val="-1"/>
          <w:sz w:val="32"/>
          <w:szCs w:val="32"/>
          <w:lang w:bidi="zh-CN"/>
        </w:rPr>
        <w:t>项目建设的内容及规模是：新建堤防工程9公里。</w:t>
      </w:r>
    </w:p>
    <w:p>
      <w:pPr>
        <w:pStyle w:val="7"/>
        <w:spacing w:line="560" w:lineRule="exact"/>
        <w:ind w:right="221" w:firstLine="636"/>
        <w:rPr>
          <w:rFonts w:ascii="方正仿宋_GBK" w:hAnsi="方正仿宋_GBK" w:eastAsia="方正仿宋_GBK" w:cs="方正仿宋_GBK"/>
          <w:spacing w:val="-1"/>
          <w:lang w:val="en-US"/>
        </w:rPr>
      </w:pPr>
      <w:r>
        <w:rPr>
          <w:rFonts w:hint="eastAsia" w:ascii="方正仿宋_GBK" w:hAnsi="方正仿宋_GBK" w:eastAsia="方正仿宋_GBK" w:cs="方正仿宋_GBK"/>
          <w:spacing w:val="-1"/>
          <w:lang w:val="en-US"/>
        </w:rPr>
        <w:t>项目计划的投资金额及资金来源是：</w:t>
      </w:r>
      <w:r>
        <w:rPr>
          <w:rFonts w:ascii="方正仿宋_GBK" w:hAnsi="方正仿宋_GBK" w:eastAsia="方正仿宋_GBK" w:cs="方正仿宋_GBK"/>
          <w:spacing w:val="-1"/>
          <w:lang w:val="en-US"/>
        </w:rPr>
        <w:t>3979.36</w:t>
      </w:r>
      <w:r>
        <w:rPr>
          <w:rFonts w:hint="eastAsia" w:ascii="方正仿宋_GBK" w:hAnsi="方正仿宋_GBK" w:eastAsia="方正仿宋_GBK" w:cs="方正仿宋_GBK"/>
          <w:spacing w:val="-1"/>
          <w:lang w:val="en-US"/>
        </w:rPr>
        <w:t>万元，中央水利发展资金和债券资金。</w:t>
      </w:r>
    </w:p>
    <w:p>
      <w:pPr>
        <w:pStyle w:val="7"/>
        <w:autoSpaceDE w:val="0"/>
        <w:autoSpaceDN w:val="0"/>
        <w:spacing w:line="560" w:lineRule="exact"/>
        <w:ind w:firstLine="640"/>
        <w:rPr>
          <w:rFonts w:ascii="方正仿宋_GBK" w:hAnsi="方正仿宋_GBK" w:eastAsia="方正仿宋_GBK" w:cs="方正仿宋_GBK"/>
          <w:lang w:val="en-US"/>
        </w:rPr>
      </w:pPr>
      <w:r>
        <w:rPr>
          <w:rFonts w:hint="eastAsia" w:ascii="方正仿宋_GBK" w:hAnsi="方正仿宋_GBK" w:eastAsia="方正仿宋_GBK" w:cs="方正仿宋_GBK"/>
          <w:lang w:val="en-US"/>
        </w:rPr>
        <w:t>截至2022年12月31日，项目已实施完成。</w:t>
      </w:r>
    </w:p>
    <w:p>
      <w:pPr>
        <w:pStyle w:val="3"/>
        <w:spacing w:before="0" w:after="0" w:line="560" w:lineRule="exact"/>
        <w:ind w:firstLine="640"/>
        <w:rPr>
          <w:rFonts w:ascii="方正楷体_GBK" w:hAnsi="方正楷体_GBK" w:eastAsia="方正楷体_GBK" w:cs="方正楷体_GBK"/>
          <w:sz w:val="32"/>
          <w:szCs w:val="32"/>
        </w:rPr>
      </w:pPr>
      <w:bookmarkStart w:id="29" w:name="_Toc13073"/>
      <w:bookmarkStart w:id="30" w:name="_Toc7141"/>
      <w:bookmarkStart w:id="31" w:name="_Toc21433"/>
      <w:bookmarkStart w:id="32" w:name="_Toc9042"/>
      <w:bookmarkStart w:id="33" w:name="_Toc14934"/>
      <w:r>
        <w:rPr>
          <w:rFonts w:hint="eastAsia" w:ascii="方正楷体_GBK" w:hAnsi="方正楷体_GBK" w:eastAsia="方正楷体_GBK" w:cs="方正楷体_GBK"/>
          <w:sz w:val="32"/>
          <w:szCs w:val="32"/>
        </w:rPr>
        <w:t>3.项目实施主体</w:t>
      </w:r>
    </w:p>
    <w:p>
      <w:pPr>
        <w:pStyle w:val="7"/>
        <w:spacing w:line="560" w:lineRule="exact"/>
        <w:ind w:firstLine="640"/>
        <w:rPr>
          <w:rFonts w:ascii="方正仿宋_GBK" w:hAnsi="方正仿宋_GBK" w:eastAsia="方正仿宋_GBK" w:cs="方正仿宋_GBK"/>
          <w:lang w:val="en-US"/>
        </w:rPr>
      </w:pPr>
      <w:r>
        <w:rPr>
          <w:rFonts w:hint="eastAsia" w:ascii="方正仿宋_GBK" w:hAnsi="方正仿宋_GBK" w:eastAsia="方正仿宋_GBK" w:cs="方正仿宋_GBK"/>
          <w:lang w:val="en-US"/>
        </w:rPr>
        <w:t>项目实施主体为莎车县水管总站，为副科级，主要职责是：</w:t>
      </w:r>
    </w:p>
    <w:p>
      <w:pPr>
        <w:pStyle w:val="7"/>
        <w:spacing w:line="560" w:lineRule="exact"/>
        <w:ind w:firstLine="640"/>
        <w:rPr>
          <w:rFonts w:ascii="方正仿宋_GBK" w:hAnsi="方正仿宋_GBK" w:eastAsia="方正仿宋_GBK" w:cs="方正仿宋_GBK"/>
          <w:lang w:val="en-US"/>
        </w:rPr>
      </w:pPr>
      <w:r>
        <w:rPr>
          <w:rFonts w:hint="eastAsia" w:ascii="方正仿宋_GBK" w:hAnsi="方正仿宋_GBK" w:eastAsia="方正仿宋_GBK" w:cs="方正仿宋_GBK"/>
          <w:lang w:val="en-US"/>
        </w:rPr>
        <w:t>（1）</w:t>
      </w:r>
      <w:r>
        <w:rPr>
          <w:rFonts w:ascii="方正仿宋_GBK" w:hAnsi="方正仿宋_GBK" w:eastAsia="方正仿宋_GBK" w:cs="方正仿宋_GBK"/>
          <w:lang w:val="en-US"/>
        </w:rPr>
        <w:t>宣传、贯彻，执行有关水利方面的政策、法律、法规。</w:t>
      </w:r>
    </w:p>
    <w:p>
      <w:pPr>
        <w:pStyle w:val="7"/>
        <w:spacing w:line="560" w:lineRule="exact"/>
        <w:ind w:firstLine="640"/>
        <w:rPr>
          <w:rFonts w:ascii="方正仿宋_GBK" w:hAnsi="方正仿宋_GBK" w:eastAsia="方正仿宋_GBK" w:cs="方正仿宋_GBK"/>
          <w:lang w:val="en-US"/>
        </w:rPr>
      </w:pPr>
      <w:r>
        <w:rPr>
          <w:rFonts w:hint="eastAsia" w:ascii="方正仿宋_GBK" w:hAnsi="方正仿宋_GBK" w:eastAsia="方正仿宋_GBK" w:cs="方正仿宋_GBK"/>
          <w:lang w:val="en-US"/>
        </w:rPr>
        <w:t>（2）</w:t>
      </w:r>
      <w:r>
        <w:rPr>
          <w:rFonts w:ascii="方正仿宋_GBK" w:hAnsi="方正仿宋_GBK" w:eastAsia="方正仿宋_GBK" w:cs="方正仿宋_GBK"/>
          <w:lang w:val="en-US"/>
        </w:rPr>
        <w:t>负</w:t>
      </w:r>
      <w:r>
        <w:rPr>
          <w:rFonts w:hint="eastAsia" w:ascii="方正仿宋_GBK" w:hAnsi="方正仿宋_GBK" w:eastAsia="方正仿宋_GBK" w:cs="方正仿宋_GBK"/>
          <w:lang w:val="en-US"/>
        </w:rPr>
        <w:t>责</w:t>
      </w:r>
      <w:r>
        <w:rPr>
          <w:rFonts w:ascii="方正仿宋_GBK" w:hAnsi="方正仿宋_GBK" w:eastAsia="方正仿宋_GBK" w:cs="方正仿宋_GBK"/>
          <w:lang w:val="en-US"/>
        </w:rPr>
        <w:t>全县洪情、水情分析预测，防灾减灾对策分析。</w:t>
      </w:r>
    </w:p>
    <w:p>
      <w:pPr>
        <w:pStyle w:val="7"/>
        <w:spacing w:line="560" w:lineRule="exact"/>
        <w:ind w:firstLine="640"/>
        <w:rPr>
          <w:rFonts w:ascii="方正仿宋_GBK" w:hAnsi="方正仿宋_GBK" w:eastAsia="方正仿宋_GBK" w:cs="方正仿宋_GBK"/>
          <w:lang w:val="en-US"/>
        </w:rPr>
      </w:pPr>
      <w:r>
        <w:rPr>
          <w:rFonts w:hint="eastAsia" w:ascii="方正仿宋_GBK" w:hAnsi="方正仿宋_GBK" w:eastAsia="方正仿宋_GBK" w:cs="方正仿宋_GBK"/>
          <w:lang w:val="en-US"/>
        </w:rPr>
        <w:t>（3）</w:t>
      </w:r>
      <w:r>
        <w:rPr>
          <w:rFonts w:ascii="方正仿宋_GBK" w:hAnsi="方正仿宋_GBK" w:eastAsia="方正仿宋_GBK" w:cs="方正仿宋_GBK"/>
          <w:lang w:val="en-US"/>
        </w:rPr>
        <w:t>负</w:t>
      </w:r>
      <w:r>
        <w:rPr>
          <w:rFonts w:hint="eastAsia" w:ascii="方正仿宋_GBK" w:hAnsi="方正仿宋_GBK" w:eastAsia="方正仿宋_GBK" w:cs="方正仿宋_GBK"/>
          <w:lang w:val="en-US"/>
        </w:rPr>
        <w:t>责</w:t>
      </w:r>
      <w:r>
        <w:rPr>
          <w:rFonts w:ascii="方正仿宋_GBK" w:hAnsi="方正仿宋_GBK" w:eastAsia="方正仿宋_GBK" w:cs="方正仿宋_GBK"/>
          <w:lang w:val="en-US"/>
        </w:rPr>
        <w:t>河流，湖泊的防洪规划和重点河流堤防建设规划方案的编制及组织实施，根据气象、水文</w:t>
      </w:r>
      <w:r>
        <w:rPr>
          <w:rFonts w:hint="eastAsia" w:ascii="方正仿宋_GBK" w:hAnsi="方正仿宋_GBK" w:eastAsia="方正仿宋_GBK" w:cs="方正仿宋_GBK"/>
          <w:lang w:val="en-US"/>
        </w:rPr>
        <w:t>及</w:t>
      </w:r>
      <w:r>
        <w:rPr>
          <w:rFonts w:ascii="方正仿宋_GBK" w:hAnsi="方正仿宋_GBK" w:eastAsia="方正仿宋_GBK" w:cs="方正仿宋_GBK"/>
          <w:lang w:val="en-US"/>
        </w:rPr>
        <w:t>农区</w:t>
      </w:r>
      <w:r>
        <w:rPr>
          <w:rFonts w:hint="eastAsia" w:ascii="方正仿宋_GBK" w:hAnsi="方正仿宋_GBK" w:eastAsia="方正仿宋_GBK" w:cs="方正仿宋_GBK"/>
          <w:lang w:val="en-US"/>
        </w:rPr>
        <w:t>墒</w:t>
      </w:r>
      <w:r>
        <w:rPr>
          <w:rFonts w:ascii="方正仿宋_GBK" w:hAnsi="方正仿宋_GBK" w:eastAsia="方正仿宋_GBK" w:cs="方正仿宋_GBK"/>
          <w:lang w:val="en-US"/>
        </w:rPr>
        <w:t>情情况，及时分析预测旱情，提出防旱抗对策和措施。</w:t>
      </w:r>
    </w:p>
    <w:p>
      <w:pPr>
        <w:pStyle w:val="7"/>
        <w:spacing w:line="560" w:lineRule="exact"/>
        <w:ind w:firstLine="640"/>
        <w:rPr>
          <w:rFonts w:ascii="方正仿宋_GBK" w:hAnsi="方正仿宋_GBK" w:eastAsia="方正仿宋_GBK" w:cs="方正仿宋_GBK"/>
          <w:lang w:val="en-US"/>
        </w:rPr>
      </w:pPr>
      <w:r>
        <w:rPr>
          <w:rFonts w:hint="eastAsia" w:ascii="方正仿宋_GBK" w:hAnsi="方正仿宋_GBK" w:eastAsia="方正仿宋_GBK" w:cs="方正仿宋_GBK"/>
          <w:lang w:val="en-US"/>
        </w:rPr>
        <w:t>（4）负责水库除险加固工程建设项目申报、组织项目建设实施工作，保证水库安全运行的前提下，最大限度发挥工程效益。</w:t>
      </w:r>
    </w:p>
    <w:p>
      <w:pPr>
        <w:pStyle w:val="7"/>
        <w:spacing w:line="560" w:lineRule="exact"/>
        <w:ind w:firstLine="640"/>
        <w:rPr>
          <w:rFonts w:ascii="方正仿宋_GBK" w:hAnsi="方正仿宋_GBK" w:eastAsia="方正仿宋_GBK" w:cs="方正仿宋_GBK"/>
          <w:lang w:val="en-US"/>
        </w:rPr>
      </w:pPr>
      <w:r>
        <w:rPr>
          <w:rFonts w:hint="eastAsia" w:ascii="方正仿宋_GBK" w:hAnsi="方正仿宋_GBK" w:eastAsia="方正仿宋_GBK" w:cs="方正仿宋_GBK"/>
          <w:lang w:val="en-US"/>
        </w:rPr>
        <w:t>（5）负责洪期调洪，蓄洪任务。</w:t>
      </w:r>
    </w:p>
    <w:p>
      <w:pPr>
        <w:pStyle w:val="7"/>
        <w:spacing w:line="560" w:lineRule="exact"/>
        <w:ind w:firstLine="640"/>
        <w:rPr>
          <w:rFonts w:ascii="方正仿宋_GBK" w:hAnsi="方正仿宋_GBK" w:eastAsia="方正仿宋_GBK" w:cs="方正仿宋_GBK"/>
          <w:lang w:val="en-US"/>
        </w:rPr>
      </w:pPr>
      <w:r>
        <w:rPr>
          <w:rFonts w:hint="eastAsia" w:ascii="方正仿宋_GBK" w:hAnsi="方正仿宋_GBK" w:eastAsia="方正仿宋_GBK" w:cs="方正仿宋_GBK"/>
          <w:lang w:val="en-US"/>
        </w:rPr>
        <w:t>（6）负责对水库蓄，放水进行调节，严格监测输水水量，及时做好水量记录。</w:t>
      </w:r>
    </w:p>
    <w:p>
      <w:pPr>
        <w:pStyle w:val="7"/>
        <w:spacing w:line="560" w:lineRule="exact"/>
        <w:ind w:firstLine="640"/>
        <w:rPr>
          <w:rFonts w:ascii="方正仿宋_GBK" w:hAnsi="方正仿宋_GBK" w:eastAsia="方正仿宋_GBK" w:cs="方正仿宋_GBK"/>
          <w:lang w:val="en-US"/>
        </w:rPr>
      </w:pPr>
      <w:r>
        <w:rPr>
          <w:rFonts w:hint="eastAsia" w:ascii="方正仿宋_GBK" w:hAnsi="方正仿宋_GBK" w:eastAsia="方正仿宋_GBK" w:cs="方正仿宋_GBK"/>
          <w:lang w:val="en-US"/>
        </w:rPr>
        <w:t>（7）负责灌区范围内耕地灌溉用水调节任务。</w:t>
      </w:r>
    </w:p>
    <w:p>
      <w:pPr>
        <w:pStyle w:val="7"/>
        <w:spacing w:line="560" w:lineRule="exact"/>
        <w:ind w:firstLine="640"/>
        <w:rPr>
          <w:rFonts w:ascii="方正仿宋_GBK" w:hAnsi="方正仿宋_GBK" w:eastAsia="方正仿宋_GBK" w:cs="方正仿宋_GBK"/>
          <w:lang w:val="en-US"/>
        </w:rPr>
      </w:pPr>
      <w:r>
        <w:rPr>
          <w:rFonts w:hint="eastAsia" w:ascii="方正仿宋_GBK" w:hAnsi="方正仿宋_GBK" w:eastAsia="方正仿宋_GBK" w:cs="方正仿宋_GBK"/>
          <w:lang w:val="en-US"/>
        </w:rPr>
        <w:t>（8）负责全县用水管理，灌区管理及农民用水户者协会的推广，先进灌溉技术引用和推广，安排下达灌溉管理指标。</w:t>
      </w:r>
    </w:p>
    <w:p>
      <w:pPr>
        <w:pStyle w:val="7"/>
        <w:spacing w:line="560" w:lineRule="exact"/>
        <w:ind w:firstLine="640"/>
        <w:rPr>
          <w:rFonts w:ascii="方正仿宋_GBK" w:hAnsi="方正仿宋_GBK" w:eastAsia="方正仿宋_GBK" w:cs="方正仿宋_GBK"/>
          <w:lang w:val="en-US"/>
        </w:rPr>
      </w:pPr>
      <w:r>
        <w:rPr>
          <w:rFonts w:hint="eastAsia" w:ascii="方正仿宋_GBK" w:hAnsi="方正仿宋_GBK" w:eastAsia="方正仿宋_GBK" w:cs="方正仿宋_GBK"/>
          <w:lang w:val="en-US"/>
        </w:rPr>
        <w:t>（9）负责制定全县范围内农业灌溉用水水量调配方案，制定水土平衡测算方案，组织汇总审核全县农业灌溉用水水量。</w:t>
      </w:r>
    </w:p>
    <w:p>
      <w:pPr>
        <w:pStyle w:val="7"/>
        <w:spacing w:line="560" w:lineRule="exact"/>
        <w:ind w:firstLine="640"/>
        <w:rPr>
          <w:rFonts w:ascii="方正仿宋_GBK" w:hAnsi="方正仿宋_GBK" w:eastAsia="方正仿宋_GBK" w:cs="方正仿宋_GBK"/>
          <w:lang w:val="en-US"/>
        </w:rPr>
      </w:pPr>
      <w:r>
        <w:rPr>
          <w:rFonts w:hint="eastAsia" w:ascii="方正仿宋_GBK" w:hAnsi="方正仿宋_GBK" w:eastAsia="方正仿宋_GBK" w:cs="方正仿宋_GBK"/>
          <w:lang w:val="en-US"/>
        </w:rPr>
        <w:t>（1</w:t>
      </w:r>
      <w:r>
        <w:rPr>
          <w:rFonts w:ascii="方正仿宋_GBK" w:hAnsi="方正仿宋_GBK" w:eastAsia="方正仿宋_GBK" w:cs="方正仿宋_GBK"/>
          <w:lang w:val="en-US"/>
        </w:rPr>
        <w:t>0</w:t>
      </w:r>
      <w:r>
        <w:rPr>
          <w:rFonts w:hint="eastAsia" w:ascii="方正仿宋_GBK" w:hAnsi="方正仿宋_GBK" w:eastAsia="方正仿宋_GBK" w:cs="方正仿宋_GBK"/>
          <w:lang w:val="en-US"/>
        </w:rPr>
        <w:t>）负责乡镇范围内水利设施和水资源的管理，保障水利设施正常运行。</w:t>
      </w:r>
    </w:p>
    <w:p>
      <w:pPr>
        <w:pStyle w:val="7"/>
        <w:spacing w:line="560" w:lineRule="exact"/>
        <w:ind w:firstLine="640"/>
        <w:rPr>
          <w:rFonts w:ascii="方正仿宋_GBK" w:hAnsi="方正仿宋_GBK" w:eastAsia="方正仿宋_GBK" w:cs="方正仿宋_GBK"/>
          <w:lang w:val="en-US"/>
        </w:rPr>
      </w:pPr>
      <w:r>
        <w:rPr>
          <w:rFonts w:hint="eastAsia" w:ascii="方正仿宋_GBK" w:hAnsi="方正仿宋_GBK" w:eastAsia="方正仿宋_GBK" w:cs="方正仿宋_GBK"/>
          <w:lang w:val="en-US"/>
        </w:rPr>
        <w:t>（1</w:t>
      </w:r>
      <w:r>
        <w:rPr>
          <w:rFonts w:ascii="方正仿宋_GBK" w:hAnsi="方正仿宋_GBK" w:eastAsia="方正仿宋_GBK" w:cs="方正仿宋_GBK"/>
          <w:lang w:val="en-US"/>
        </w:rPr>
        <w:t>1</w:t>
      </w:r>
      <w:r>
        <w:rPr>
          <w:rFonts w:hint="eastAsia" w:ascii="方正仿宋_GBK" w:hAnsi="方正仿宋_GBK" w:eastAsia="方正仿宋_GBK" w:cs="方正仿宋_GBK"/>
          <w:lang w:val="en-US"/>
        </w:rPr>
        <w:t>）负责组织实地“供水到户”工作。组建农民用水者协会，全面清查本乡镇范围内耕地面积。</w:t>
      </w:r>
    </w:p>
    <w:p>
      <w:pPr>
        <w:pStyle w:val="7"/>
        <w:spacing w:line="560" w:lineRule="exact"/>
        <w:ind w:firstLine="640"/>
        <w:rPr>
          <w:rFonts w:ascii="方正仿宋_GBK" w:hAnsi="方正仿宋_GBK" w:eastAsia="方正仿宋_GBK" w:cs="方正仿宋_GBK"/>
          <w:lang w:val="en-US"/>
        </w:rPr>
      </w:pPr>
      <w:r>
        <w:rPr>
          <w:rFonts w:hint="eastAsia" w:ascii="方正仿宋_GBK" w:hAnsi="方正仿宋_GBK" w:eastAsia="方正仿宋_GBK" w:cs="方正仿宋_GBK"/>
          <w:lang w:val="en-US"/>
        </w:rPr>
        <w:t>12、负责全县农业灌溉用水供水成本核定，并拟定农业灌溉供水水价。</w:t>
      </w:r>
    </w:p>
    <w:p>
      <w:pPr>
        <w:pStyle w:val="7"/>
        <w:spacing w:line="560" w:lineRule="exact"/>
        <w:ind w:firstLine="640"/>
        <w:rPr>
          <w:rFonts w:ascii="方正仿宋_GBK" w:hAnsi="方正仿宋_GBK" w:eastAsia="方正仿宋_GBK" w:cs="方正仿宋_GBK"/>
          <w:lang w:val="en-US"/>
        </w:rPr>
      </w:pPr>
      <w:r>
        <w:rPr>
          <w:rFonts w:hint="eastAsia" w:ascii="方正仿宋_GBK" w:hAnsi="方正仿宋_GBK" w:eastAsia="方正仿宋_GBK" w:cs="方正仿宋_GBK"/>
          <w:lang w:val="en-US"/>
        </w:rPr>
        <w:t>莎车县水管总站下辖29个乡镇水管站、3个水库管理站、1个抗早服务队。</w:t>
      </w:r>
    </w:p>
    <w:p>
      <w:pPr>
        <w:spacing w:line="560" w:lineRule="exact"/>
        <w:ind w:firstLine="640"/>
        <w:rPr>
          <w:rFonts w:ascii="方正仿宋_GBK" w:hAnsi="方正仿宋_GBK" w:eastAsia="方正仿宋_GBK" w:cs="方正仿宋_GBK"/>
          <w:sz w:val="32"/>
          <w:szCs w:val="32"/>
        </w:rPr>
      </w:pPr>
      <w:r>
        <w:rPr>
          <w:rFonts w:hint="eastAsia" w:ascii="仿宋" w:hAnsi="仿宋" w:eastAsia="仿宋" w:cs="仿宋"/>
          <w:sz w:val="32"/>
          <w:szCs w:val="32"/>
        </w:rPr>
        <w:t>莎车县水管总站核定自收自支事业编制417名。</w:t>
      </w:r>
    </w:p>
    <w:bookmarkEnd w:id="29"/>
    <w:bookmarkEnd w:id="30"/>
    <w:bookmarkEnd w:id="31"/>
    <w:bookmarkEnd w:id="32"/>
    <w:bookmarkEnd w:id="33"/>
    <w:p>
      <w:pPr>
        <w:pStyle w:val="3"/>
        <w:spacing w:before="0" w:after="0" w:line="560" w:lineRule="exact"/>
        <w:ind w:firstLine="640"/>
        <w:rPr>
          <w:rFonts w:ascii="方正楷体_GBK" w:hAnsi="方正楷体_GBK" w:eastAsia="方正楷体_GBK" w:cs="方正楷体_GBK"/>
          <w:sz w:val="32"/>
          <w:szCs w:val="32"/>
        </w:rPr>
      </w:pPr>
      <w:bookmarkStart w:id="34" w:name="_Toc13915"/>
      <w:bookmarkStart w:id="35" w:name="_Toc1060"/>
      <w:bookmarkStart w:id="36" w:name="_Toc27324"/>
      <w:bookmarkStart w:id="37" w:name="_Toc15437"/>
      <w:bookmarkStart w:id="38" w:name="_Toc23034"/>
      <w:r>
        <w:rPr>
          <w:rFonts w:hint="eastAsia" w:ascii="方正楷体_GBK" w:hAnsi="方正楷体_GBK" w:eastAsia="方正楷体_GBK" w:cs="方正楷体_GBK"/>
          <w:sz w:val="32"/>
          <w:szCs w:val="32"/>
        </w:rPr>
        <w:t>4.</w:t>
      </w:r>
      <w:bookmarkEnd w:id="34"/>
      <w:r>
        <w:rPr>
          <w:rFonts w:hint="eastAsia" w:ascii="方正楷体_GBK" w:hAnsi="方正楷体_GBK" w:eastAsia="方正楷体_GBK" w:cs="方正楷体_GBK"/>
          <w:sz w:val="32"/>
          <w:szCs w:val="32"/>
        </w:rPr>
        <w:t>资金投入和使用情况</w:t>
      </w:r>
    </w:p>
    <w:p>
      <w:pPr>
        <w:pStyle w:val="7"/>
        <w:autoSpaceDE w:val="0"/>
        <w:autoSpaceDN w:val="0"/>
        <w:spacing w:line="560" w:lineRule="exact"/>
        <w:ind w:firstLine="640"/>
        <w:rPr>
          <w:rFonts w:ascii="方正仿宋_GBK" w:hAnsi="方正仿宋_GBK" w:eastAsia="方正仿宋_GBK" w:cs="方正仿宋_GBK"/>
          <w:lang w:val="en-US"/>
        </w:rPr>
      </w:pPr>
      <w:bookmarkStart w:id="39" w:name="_Toc16939"/>
      <w:bookmarkStart w:id="40" w:name="_Toc22382"/>
      <w:r>
        <w:rPr>
          <w:rFonts w:hint="eastAsia" w:ascii="方正仿宋_GBK" w:hAnsi="方正仿宋_GBK" w:eastAsia="方正仿宋_GBK" w:cs="方正仿宋_GBK"/>
          <w:lang w:val="en-US"/>
        </w:rPr>
        <w:t>根据莎财预[202</w:t>
      </w:r>
      <w:r>
        <w:rPr>
          <w:rFonts w:ascii="方正仿宋_GBK" w:hAnsi="方正仿宋_GBK" w:eastAsia="方正仿宋_GBK" w:cs="方正仿宋_GBK"/>
          <w:lang w:val="en-US"/>
        </w:rPr>
        <w:t>2</w:t>
      </w:r>
      <w:r>
        <w:rPr>
          <w:rFonts w:hint="eastAsia" w:ascii="方正仿宋_GBK" w:hAnsi="方正仿宋_GBK" w:eastAsia="方正仿宋_GBK" w:cs="方正仿宋_GBK"/>
          <w:lang w:val="en-US"/>
        </w:rPr>
        <w:t>]</w:t>
      </w:r>
      <w:r>
        <w:rPr>
          <w:rFonts w:ascii="方正仿宋_GBK" w:hAnsi="方正仿宋_GBK" w:eastAsia="方正仿宋_GBK" w:cs="方正仿宋_GBK"/>
          <w:lang w:val="en-US"/>
        </w:rPr>
        <w:t>13</w:t>
      </w:r>
      <w:r>
        <w:rPr>
          <w:rFonts w:hint="eastAsia" w:ascii="方正仿宋_GBK" w:hAnsi="方正仿宋_GBK" w:eastAsia="方正仿宋_GBK" w:cs="方正仿宋_GBK"/>
          <w:lang w:val="en-US"/>
        </w:rPr>
        <w:t>号《关于做好2</w:t>
      </w:r>
      <w:r>
        <w:rPr>
          <w:rFonts w:ascii="方正仿宋_GBK" w:hAnsi="方正仿宋_GBK" w:eastAsia="方正仿宋_GBK" w:cs="方正仿宋_GBK"/>
          <w:lang w:val="en-US"/>
        </w:rPr>
        <w:t>022</w:t>
      </w:r>
      <w:r>
        <w:rPr>
          <w:rFonts w:hint="eastAsia" w:ascii="方正仿宋_GBK" w:hAnsi="方正仿宋_GBK" w:eastAsia="方正仿宋_GBK" w:cs="方正仿宋_GBK"/>
          <w:lang w:val="en-US"/>
        </w:rPr>
        <w:t>年自治区第四批地方政府债券管理使用工作的通知》文件，</w:t>
      </w:r>
      <w:bookmarkEnd w:id="39"/>
      <w:bookmarkEnd w:id="40"/>
      <w:r>
        <w:rPr>
          <w:rFonts w:hint="eastAsia" w:ascii="方正仿宋_GBK" w:hAnsi="方正仿宋_GBK" w:eastAsia="方正仿宋_GBK" w:cs="方正仿宋_GBK"/>
          <w:lang w:val="en-US"/>
        </w:rPr>
        <w:t>喀什地区莎车县艾牙河达木斯乡1村、8村和霍什拉甫乡11村、12村中小河流治理工程</w:t>
      </w:r>
      <w:r>
        <w:rPr>
          <w:rFonts w:hint="eastAsia" w:ascii="方正仿宋_GBK" w:hAnsi="方正仿宋_GBK" w:eastAsia="方正仿宋_GBK" w:cs="方正仿宋_GBK"/>
          <w:bCs/>
        </w:rPr>
        <w:t>项目安排预算资金</w:t>
      </w:r>
      <w:r>
        <w:rPr>
          <w:rFonts w:ascii="方正仿宋_GBK" w:hAnsi="方正仿宋_GBK" w:eastAsia="方正仿宋_GBK" w:cs="方正仿宋_GBK"/>
          <w:bCs/>
          <w:lang w:val="en-US"/>
        </w:rPr>
        <w:t>2000</w:t>
      </w:r>
      <w:r>
        <w:rPr>
          <w:rFonts w:hint="eastAsia" w:ascii="方正仿宋_GBK" w:hAnsi="方正仿宋_GBK" w:eastAsia="方正仿宋_GBK" w:cs="方正仿宋_GBK"/>
          <w:bCs/>
          <w:lang w:val="en-US"/>
        </w:rPr>
        <w:t>万元，已到位资金</w:t>
      </w:r>
      <w:r>
        <w:rPr>
          <w:rFonts w:ascii="方正仿宋_GBK" w:hAnsi="方正仿宋_GBK" w:eastAsia="方正仿宋_GBK" w:cs="方正仿宋_GBK"/>
          <w:bCs/>
          <w:lang w:val="en-US"/>
        </w:rPr>
        <w:t>2000</w:t>
      </w:r>
      <w:r>
        <w:rPr>
          <w:rFonts w:hint="eastAsia" w:ascii="方正仿宋_GBK" w:hAnsi="方正仿宋_GBK" w:eastAsia="方正仿宋_GBK" w:cs="方正仿宋_GBK"/>
          <w:bCs/>
          <w:lang w:val="en-US"/>
        </w:rPr>
        <w:t>万元，截至2022年12月31日，项目实际支出</w:t>
      </w:r>
      <w:r>
        <w:rPr>
          <w:rFonts w:ascii="方正仿宋_GBK" w:hAnsi="方正仿宋_GBK" w:eastAsia="方正仿宋_GBK" w:cs="方正仿宋_GBK"/>
          <w:bCs/>
          <w:lang w:val="en-US"/>
        </w:rPr>
        <w:t>2000</w:t>
      </w:r>
      <w:r>
        <w:rPr>
          <w:rFonts w:hint="eastAsia" w:ascii="方正仿宋_GBK" w:hAnsi="方正仿宋_GBK" w:eastAsia="方正仿宋_GBK" w:cs="方正仿宋_GBK"/>
          <w:bCs/>
          <w:lang w:val="en-US"/>
        </w:rPr>
        <w:t>万元，资金预算执行率</w:t>
      </w:r>
      <w:r>
        <w:rPr>
          <w:rFonts w:ascii="方正仿宋_GBK" w:hAnsi="方正仿宋_GBK" w:eastAsia="方正仿宋_GBK" w:cs="方正仿宋_GBK"/>
          <w:bCs/>
          <w:lang w:val="en-US"/>
        </w:rPr>
        <w:t>100</w:t>
      </w:r>
      <w:r>
        <w:rPr>
          <w:rFonts w:hint="eastAsia" w:ascii="方正仿宋_GBK" w:hAnsi="方正仿宋_GBK" w:eastAsia="方正仿宋_GBK" w:cs="方正仿宋_GBK"/>
          <w:bCs/>
          <w:lang w:val="en-US"/>
        </w:rPr>
        <w:t>%。</w:t>
      </w:r>
    </w:p>
    <w:p>
      <w:pPr>
        <w:pStyle w:val="3"/>
        <w:spacing w:before="0" w:after="0" w:line="560" w:lineRule="exact"/>
        <w:ind w:firstLine="640"/>
        <w:rPr>
          <w:rFonts w:ascii="方正仿宋_GBK" w:hAnsi="方正仿宋_GBK" w:eastAsia="方正仿宋_GBK" w:cs="方正仿宋_GBK"/>
          <w:sz w:val="32"/>
          <w:szCs w:val="32"/>
        </w:rPr>
      </w:pPr>
      <w:bookmarkStart w:id="41" w:name="_Toc14091"/>
      <w:r>
        <w:rPr>
          <w:rFonts w:hint="eastAsia" w:ascii="方正仿宋_GBK" w:hAnsi="方正仿宋_GBK" w:eastAsia="方正仿宋_GBK" w:cs="方正仿宋_GBK"/>
          <w:sz w:val="32"/>
          <w:szCs w:val="32"/>
        </w:rPr>
        <w:t>（二）</w:t>
      </w:r>
      <w:bookmarkStart w:id="42" w:name="（二）绩效目标"/>
      <w:bookmarkEnd w:id="42"/>
      <w:r>
        <w:rPr>
          <w:rFonts w:hint="eastAsia" w:ascii="方正仿宋_GBK" w:hAnsi="方正仿宋_GBK" w:eastAsia="方正仿宋_GBK" w:cs="方正仿宋_GBK"/>
          <w:sz w:val="32"/>
          <w:szCs w:val="32"/>
        </w:rPr>
        <w:t>项目绩效目标</w:t>
      </w:r>
      <w:bookmarkEnd w:id="35"/>
      <w:bookmarkEnd w:id="36"/>
      <w:bookmarkEnd w:id="37"/>
      <w:bookmarkEnd w:id="38"/>
      <w:bookmarkEnd w:id="41"/>
      <w:r>
        <w:rPr>
          <w:rFonts w:hint="eastAsia" w:ascii="方正仿宋_GBK" w:hAnsi="方正仿宋_GBK" w:eastAsia="方正仿宋_GBK" w:cs="方正仿宋_GBK"/>
          <w:sz w:val="32"/>
          <w:szCs w:val="32"/>
        </w:rPr>
        <w:t>自评内容</w:t>
      </w:r>
    </w:p>
    <w:p>
      <w:pPr>
        <w:pStyle w:val="7"/>
        <w:autoSpaceDE w:val="0"/>
        <w:autoSpaceDN w:val="0"/>
        <w:spacing w:line="560" w:lineRule="exact"/>
        <w:ind w:firstLine="640"/>
        <w:rPr>
          <w:rFonts w:ascii="方正仿宋_GBK" w:hAnsi="方正仿宋_GBK" w:eastAsia="方正仿宋_GBK" w:cs="方正仿宋_GBK"/>
          <w:lang w:val="en-US"/>
        </w:rPr>
      </w:pPr>
      <w:bookmarkStart w:id="43" w:name="_Toc9707"/>
      <w:bookmarkStart w:id="44" w:name="_Toc26040"/>
      <w:bookmarkStart w:id="45" w:name="_Toc22409"/>
      <w:bookmarkStart w:id="46" w:name="_Toc12994"/>
      <w:r>
        <w:rPr>
          <w:rFonts w:hint="eastAsia" w:ascii="方正仿宋_GBK" w:hAnsi="方正仿宋_GBK" w:eastAsia="方正仿宋_GBK" w:cs="方正仿宋_GBK"/>
          <w:lang w:val="en-US"/>
        </w:rPr>
        <w:t>项目绩效目标包括项目绩效总目标、各项绩效指标完成情况及预算执行情况。</w:t>
      </w:r>
    </w:p>
    <w:p>
      <w:pPr>
        <w:pStyle w:val="3"/>
        <w:spacing w:before="0" w:after="0" w:line="560" w:lineRule="exact"/>
        <w:ind w:firstLine="64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1.项目绩效总目标</w:t>
      </w:r>
    </w:p>
    <w:bookmarkEnd w:id="43"/>
    <w:bookmarkEnd w:id="44"/>
    <w:bookmarkEnd w:id="45"/>
    <w:bookmarkEnd w:id="46"/>
    <w:p>
      <w:pPr>
        <w:pStyle w:val="7"/>
        <w:autoSpaceDE w:val="0"/>
        <w:autoSpaceDN w:val="0"/>
        <w:spacing w:line="560" w:lineRule="exact"/>
        <w:ind w:firstLine="640"/>
        <w:rPr>
          <w:rFonts w:ascii="方正仿宋_GBK" w:hAnsi="方正仿宋_GBK" w:eastAsia="方正仿宋_GBK" w:cs="方正仿宋_GBK"/>
          <w:lang w:val="en-US"/>
        </w:rPr>
      </w:pPr>
      <w:r>
        <w:rPr>
          <w:rFonts w:hint="eastAsia" w:ascii="方正仿宋_GBK" w:hAnsi="方正仿宋_GBK" w:eastAsia="方正仿宋_GBK" w:cs="方正仿宋_GBK"/>
          <w:lang w:val="en-US"/>
        </w:rPr>
        <w:t>项目绩效总目标为新建防洪堤9公里，有效保证达木斯乡1村、8 村和霍什拉甫乡11村、12村共3567人生命财产安全、2751亩耕地。</w:t>
      </w:r>
    </w:p>
    <w:p>
      <w:pPr>
        <w:pStyle w:val="3"/>
        <w:spacing w:before="0" w:after="0" w:line="560" w:lineRule="exact"/>
        <w:ind w:firstLine="64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2.阶段性目标</w:t>
      </w:r>
    </w:p>
    <w:p>
      <w:pPr>
        <w:pStyle w:val="22"/>
        <w:spacing w:line="560" w:lineRule="exact"/>
        <w:ind w:firstLine="640"/>
        <w:outlineLvl w:val="2"/>
        <w:rPr>
          <w:rFonts w:ascii="方正仿宋_GBK" w:hAnsi="方正仿宋_GBK" w:eastAsia="方正仿宋_GBK" w:cs="方正仿宋_GBK"/>
          <w:b/>
          <w:bCs/>
          <w:sz w:val="32"/>
          <w:szCs w:val="32"/>
        </w:rPr>
      </w:pPr>
      <w:r>
        <w:rPr>
          <w:rFonts w:hint="eastAsia" w:ascii="方正仿宋_GBK" w:hAnsi="方正仿宋_GBK" w:eastAsia="方正仿宋_GBK" w:cs="方正仿宋_GBK"/>
          <w:sz w:val="32"/>
          <w:szCs w:val="32"/>
        </w:rPr>
        <w:t>项目阶段性目标为新建防洪堤9公里，有效保证达木斯乡1 村、8村和霍什拉甫乡11村、12村共3567人生命财产安全、2751 亩耕地。</w:t>
      </w:r>
    </w:p>
    <w:p>
      <w:pPr>
        <w:pStyle w:val="3"/>
        <w:spacing w:before="0" w:after="0" w:line="560" w:lineRule="exact"/>
        <w:ind w:firstLine="643"/>
        <w:rPr>
          <w:rFonts w:ascii="黑体" w:hAnsi="黑体" w:eastAsia="黑体"/>
          <w:sz w:val="32"/>
          <w:szCs w:val="32"/>
        </w:rPr>
      </w:pPr>
      <w:bookmarkStart w:id="47" w:name="_Toc27342"/>
      <w:bookmarkStart w:id="48" w:name="_Toc15932"/>
      <w:bookmarkStart w:id="49" w:name="_Toc14745"/>
      <w:bookmarkStart w:id="50" w:name="_Toc2612"/>
      <w:bookmarkStart w:id="51" w:name="_Toc24088"/>
      <w:bookmarkStart w:id="52" w:name="_Toc19627"/>
      <w:r>
        <w:rPr>
          <w:rFonts w:hint="eastAsia" w:ascii="黑体" w:hAnsi="黑体" w:eastAsia="黑体"/>
          <w:sz w:val="32"/>
          <w:szCs w:val="32"/>
        </w:rPr>
        <w:t>二、绩效自评工作开展情况</w:t>
      </w:r>
      <w:bookmarkEnd w:id="47"/>
      <w:bookmarkEnd w:id="48"/>
      <w:bookmarkEnd w:id="49"/>
      <w:bookmarkEnd w:id="50"/>
      <w:bookmarkEnd w:id="51"/>
      <w:bookmarkEnd w:id="52"/>
      <w:bookmarkStart w:id="53" w:name="_TOC_250000"/>
      <w:bookmarkEnd w:id="53"/>
    </w:p>
    <w:p>
      <w:pPr>
        <w:pStyle w:val="3"/>
        <w:spacing w:before="0" w:after="0" w:line="560" w:lineRule="exact"/>
        <w:ind w:firstLine="640"/>
        <w:rPr>
          <w:rFonts w:ascii="方正仿宋_GBK" w:hAnsi="方正仿宋_GBK" w:eastAsia="方正仿宋_GBK" w:cs="方正仿宋_GBK"/>
          <w:sz w:val="32"/>
          <w:szCs w:val="32"/>
        </w:rPr>
      </w:pPr>
      <w:bookmarkStart w:id="54" w:name="_Toc5198"/>
      <w:bookmarkStart w:id="55" w:name="_Toc192"/>
      <w:bookmarkStart w:id="56" w:name="_Toc14263"/>
      <w:bookmarkStart w:id="57" w:name="_Toc19016"/>
      <w:bookmarkStart w:id="58" w:name="_Toc596"/>
      <w:r>
        <w:rPr>
          <w:rFonts w:hint="eastAsia" w:ascii="方正仿宋_GBK" w:hAnsi="方正仿宋_GBK" w:eastAsia="方正仿宋_GBK" w:cs="方正仿宋_GBK"/>
          <w:sz w:val="32"/>
          <w:szCs w:val="32"/>
        </w:rPr>
        <w:t>（一）绩效自评目的、对象和范围</w:t>
      </w:r>
      <w:bookmarkEnd w:id="54"/>
      <w:bookmarkEnd w:id="55"/>
      <w:bookmarkEnd w:id="56"/>
      <w:bookmarkEnd w:id="57"/>
      <w:bookmarkEnd w:id="58"/>
    </w:p>
    <w:p>
      <w:pPr>
        <w:pStyle w:val="3"/>
        <w:spacing w:before="0" w:after="0" w:line="560" w:lineRule="exact"/>
        <w:ind w:firstLine="640"/>
        <w:rPr>
          <w:rFonts w:ascii="方正楷体_GBK" w:hAnsi="方正楷体_GBK" w:eastAsia="方正楷体_GBK" w:cs="方正楷体_GBK"/>
          <w:sz w:val="32"/>
          <w:szCs w:val="32"/>
        </w:rPr>
      </w:pPr>
      <w:bookmarkStart w:id="59" w:name="_Toc15860"/>
      <w:r>
        <w:rPr>
          <w:rFonts w:hint="eastAsia" w:ascii="方正楷体_GBK" w:hAnsi="方正楷体_GBK" w:eastAsia="方正楷体_GBK" w:cs="方正楷体_GBK"/>
          <w:sz w:val="32"/>
          <w:szCs w:val="32"/>
        </w:rPr>
        <w:t>1.绩效自评目的</w:t>
      </w:r>
      <w:bookmarkEnd w:id="59"/>
    </w:p>
    <w:p>
      <w:pPr>
        <w:pStyle w:val="7"/>
        <w:autoSpaceDE w:val="0"/>
        <w:autoSpaceDN w:val="0"/>
        <w:spacing w:line="560" w:lineRule="exact"/>
        <w:ind w:firstLine="640"/>
        <w:rPr>
          <w:rFonts w:ascii="方正仿宋_GBK" w:hAnsi="方正仿宋_GBK" w:eastAsia="方正仿宋_GBK" w:cs="方正仿宋_GBK"/>
          <w:lang w:val="en-US"/>
        </w:rPr>
      </w:pPr>
      <w:r>
        <w:rPr>
          <w:rFonts w:hint="eastAsia" w:ascii="方正仿宋_GBK" w:hAnsi="方正仿宋_GBK" w:eastAsia="方正仿宋_GBK" w:cs="方正仿宋_GBK"/>
          <w:lang w:val="en-US"/>
        </w:rPr>
        <w:t>掌握项目实施整体情况。根据本级预算批复对</w:t>
      </w:r>
      <w:r>
        <w:rPr>
          <w:rFonts w:hint="eastAsia" w:ascii="方正仿宋_GBK" w:hAnsi="方正仿宋_GBK" w:eastAsia="方正仿宋_GBK" w:cs="方正仿宋_GBK"/>
          <w:bCs/>
        </w:rPr>
        <w:t>项目绩效目标完成情况进行自我评价。</w:t>
      </w:r>
      <w:r>
        <w:rPr>
          <w:rFonts w:hint="eastAsia" w:ascii="方正仿宋_GBK" w:hAnsi="方正仿宋_GBK" w:eastAsia="方正仿宋_GBK" w:cs="方正仿宋_GBK"/>
          <w:lang w:val="en-US"/>
        </w:rPr>
        <w:t>提高项目的资金使用率，充分发挥资金使用效益。</w:t>
      </w:r>
    </w:p>
    <w:p>
      <w:pPr>
        <w:pStyle w:val="3"/>
        <w:spacing w:before="0" w:after="0" w:line="560" w:lineRule="exact"/>
        <w:ind w:firstLine="640"/>
        <w:rPr>
          <w:rFonts w:ascii="方正楷体_GBK" w:hAnsi="方正楷体_GBK" w:eastAsia="方正楷体_GBK" w:cs="方正楷体_GBK"/>
          <w:sz w:val="32"/>
          <w:szCs w:val="32"/>
        </w:rPr>
      </w:pPr>
      <w:bookmarkStart w:id="60" w:name="_Toc4347"/>
      <w:r>
        <w:rPr>
          <w:rFonts w:hint="eastAsia" w:ascii="方正楷体_GBK" w:hAnsi="方正楷体_GBK" w:eastAsia="方正楷体_GBK" w:cs="方正楷体_GBK"/>
          <w:sz w:val="32"/>
          <w:szCs w:val="32"/>
        </w:rPr>
        <w:t>2.绩效自评对象</w:t>
      </w:r>
      <w:bookmarkEnd w:id="60"/>
    </w:p>
    <w:p>
      <w:pPr>
        <w:spacing w:line="560" w:lineRule="exact"/>
        <w:ind w:firstLine="640"/>
        <w:rPr>
          <w:rFonts w:ascii="方正仿宋_GBK" w:hAnsi="方正仿宋_GBK" w:eastAsia="方正仿宋_GBK" w:cs="方正仿宋_GBK"/>
          <w:bCs/>
          <w:sz w:val="32"/>
          <w:szCs w:val="32"/>
        </w:rPr>
      </w:pPr>
      <w:r>
        <w:rPr>
          <w:rFonts w:hint="eastAsia" w:ascii="方正仿宋_GBK" w:hAnsi="方正仿宋_GBK" w:eastAsia="方正仿宋_GBK" w:cs="方正仿宋_GBK"/>
          <w:sz w:val="32"/>
          <w:szCs w:val="32"/>
        </w:rPr>
        <w:t>本次绩效自评遵循财政部《项目支出绩效自评管理办法》（财预〔2020〕10号）和自治区财政厅《自治区财政支出绩效自评管理暂行办法》（新财预〔2018〕189号）等相关政策文件与规定，</w:t>
      </w:r>
      <w:r>
        <w:rPr>
          <w:rFonts w:hint="eastAsia" w:ascii="方正仿宋_GBK" w:hAnsi="方正仿宋_GBK" w:eastAsia="方正仿宋_GBK" w:cs="方正仿宋_GBK"/>
          <w:bCs/>
          <w:sz w:val="32"/>
          <w:szCs w:val="32"/>
        </w:rPr>
        <w:t>自评对象包括纳入政府预算管理的所有项目支出。</w:t>
      </w:r>
    </w:p>
    <w:p>
      <w:pPr>
        <w:pStyle w:val="3"/>
        <w:spacing w:before="0" w:after="0" w:line="560" w:lineRule="exact"/>
        <w:ind w:firstLine="640"/>
        <w:rPr>
          <w:rFonts w:ascii="方正楷体_GBK" w:hAnsi="方正楷体_GBK" w:eastAsia="方正楷体_GBK" w:cs="方正楷体_GBK"/>
          <w:sz w:val="32"/>
          <w:szCs w:val="32"/>
        </w:rPr>
      </w:pPr>
      <w:bookmarkStart w:id="61" w:name="_Toc28781"/>
      <w:r>
        <w:rPr>
          <w:rFonts w:hint="eastAsia" w:ascii="方正楷体_GBK" w:hAnsi="方正楷体_GBK" w:eastAsia="方正楷体_GBK" w:cs="方正楷体_GBK"/>
          <w:sz w:val="32"/>
          <w:szCs w:val="32"/>
        </w:rPr>
        <w:t>3.绩效自评范围</w:t>
      </w:r>
      <w:bookmarkEnd w:id="61"/>
    </w:p>
    <w:p>
      <w:pPr>
        <w:pStyle w:val="7"/>
        <w:autoSpaceDE w:val="0"/>
        <w:autoSpaceDN w:val="0"/>
        <w:spacing w:line="560" w:lineRule="exact"/>
        <w:ind w:firstLine="640"/>
        <w:rPr>
          <w:rFonts w:ascii="方正仿宋_GBK" w:hAnsi="方正仿宋_GBK" w:eastAsia="方正仿宋_GBK" w:cs="方正仿宋_GBK"/>
        </w:rPr>
      </w:pPr>
      <w:r>
        <w:rPr>
          <w:rFonts w:hint="eastAsia" w:ascii="方正仿宋_GBK" w:hAnsi="方正仿宋_GBK" w:eastAsia="方正仿宋_GBK" w:cs="方正仿宋_GBK"/>
          <w:lang w:val="en-US"/>
        </w:rPr>
        <w:t>本次自评范围涵盖项目总体绩效目标、各项绩效指标完成情况以及预算执行情况。</w:t>
      </w:r>
      <w:bookmarkStart w:id="62" w:name="_Toc32655"/>
      <w:bookmarkStart w:id="63" w:name="_Toc7990"/>
      <w:bookmarkStart w:id="64" w:name="_Toc29699"/>
      <w:bookmarkStart w:id="65" w:name="_Toc2961"/>
      <w:bookmarkStart w:id="66" w:name="_Toc10152"/>
    </w:p>
    <w:bookmarkEnd w:id="62"/>
    <w:bookmarkEnd w:id="63"/>
    <w:bookmarkEnd w:id="64"/>
    <w:bookmarkEnd w:id="65"/>
    <w:bookmarkEnd w:id="66"/>
    <w:p>
      <w:pPr>
        <w:pStyle w:val="3"/>
        <w:spacing w:before="0" w:after="0" w:line="560" w:lineRule="exact"/>
        <w:ind w:firstLine="640"/>
        <w:rPr>
          <w:rFonts w:ascii="方正仿宋_GBK" w:hAnsi="方正仿宋_GBK" w:eastAsia="方正仿宋_GBK" w:cs="方正仿宋_GBK"/>
          <w:sz w:val="32"/>
          <w:szCs w:val="32"/>
        </w:rPr>
      </w:pPr>
      <w:bookmarkStart w:id="67" w:name="_Toc7351"/>
      <w:bookmarkStart w:id="68" w:name="_Toc19251"/>
      <w:r>
        <w:rPr>
          <w:rFonts w:hint="eastAsia" w:ascii="方正仿宋_GBK" w:hAnsi="方正仿宋_GBK" w:eastAsia="方正仿宋_GBK" w:cs="方正仿宋_GBK"/>
          <w:sz w:val="32"/>
          <w:szCs w:val="32"/>
        </w:rPr>
        <w:t>（二）绩效评价原则、评价指标体系、评价方法、评价标准</w:t>
      </w:r>
    </w:p>
    <w:p>
      <w:pPr>
        <w:pStyle w:val="3"/>
        <w:spacing w:before="0" w:after="0" w:line="560" w:lineRule="exact"/>
        <w:ind w:firstLine="640"/>
        <w:rPr>
          <w:rFonts w:ascii="方正楷体_GBK" w:hAnsi="方正楷体_GBK" w:eastAsia="方正楷体_GBK" w:cs="方正楷体_GBK"/>
          <w:sz w:val="32"/>
          <w:szCs w:val="32"/>
        </w:rPr>
      </w:pPr>
      <w:bookmarkStart w:id="69" w:name="_Toc31771"/>
      <w:bookmarkStart w:id="70" w:name="_Toc26481"/>
      <w:bookmarkStart w:id="71" w:name="_Toc22525"/>
      <w:bookmarkStart w:id="72" w:name="_Toc1602"/>
      <w:bookmarkStart w:id="73" w:name="_Toc29251"/>
      <w:r>
        <w:rPr>
          <w:rFonts w:hint="eastAsia" w:ascii="方正楷体_GBK" w:hAnsi="方正楷体_GBK" w:eastAsia="方正楷体_GBK" w:cs="方正楷体_GBK"/>
          <w:sz w:val="32"/>
          <w:szCs w:val="32"/>
        </w:rPr>
        <w:t>1.绩效评价原则</w:t>
      </w:r>
      <w:bookmarkEnd w:id="69"/>
      <w:bookmarkEnd w:id="70"/>
      <w:bookmarkEnd w:id="71"/>
      <w:bookmarkEnd w:id="72"/>
      <w:bookmarkEnd w:id="73"/>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（1）依法依规原则。绩效评价各个环节，充分体现依法依规要求，严格按照规定的管理程序和方法运作。</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（2）科学规范原则。落实相关政策文件情况，按照科学可行的要求，采取定性与定量相结合的分析方法，严格遵守规定程序。</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（3）客观公正原则。绩效评价人员本着客观、公正的态度进行项目评价，评价结果依法公开，并接受公众监督。</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（4）绩效相关原则。在进行绩效评价时，重点关注项目产出情况，包括资金支付与项目实施进度，并对其进行比较，准确反映出二者的关系。</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（5）激励约束原则。绩效评价结果与预算安排、政策调整、改进管理实质性挂钩，体现奖优罚劣和激励相容导向，有效要安排、低效要压减、无效要问责。</w:t>
      </w:r>
    </w:p>
    <w:p>
      <w:pPr>
        <w:pStyle w:val="3"/>
        <w:spacing w:before="0" w:after="0" w:line="560" w:lineRule="exact"/>
        <w:ind w:firstLine="64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2.评价指标体系</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本次绩效评价指标体系按照《财政部关于印发〈项目支出绩效评价管理办法〉的通知》（财预[2020]10号）文件要求设置，由决策、过程、产出、效益4个一级指标。</w:t>
      </w:r>
      <w:r>
        <w:rPr>
          <w:rFonts w:ascii="方正仿宋_GBK" w:hAnsi="方正仿宋_GBK" w:eastAsia="方正仿宋_GBK" w:cs="方正仿宋_GBK"/>
          <w:kern w:val="0"/>
          <w:lang w:val="en-US" w:bidi="en-US"/>
        </w:rPr>
        <w:t>7</w:t>
      </w:r>
      <w:r>
        <w:rPr>
          <w:rFonts w:hint="eastAsia" w:ascii="方正仿宋_GBK" w:hAnsi="方正仿宋_GBK" w:eastAsia="方正仿宋_GBK" w:cs="方正仿宋_GBK"/>
          <w:kern w:val="0"/>
          <w:lang w:val="en-US" w:bidi="en-US"/>
        </w:rPr>
        <w:t>个二级指标、1</w:t>
      </w:r>
      <w:r>
        <w:rPr>
          <w:rFonts w:ascii="方正仿宋_GBK" w:hAnsi="方正仿宋_GBK" w:eastAsia="方正仿宋_GBK" w:cs="方正仿宋_GBK"/>
          <w:kern w:val="0"/>
          <w:lang w:val="en-US" w:bidi="en-US"/>
        </w:rPr>
        <w:t>2</w:t>
      </w:r>
      <w:r>
        <w:rPr>
          <w:rFonts w:hint="eastAsia" w:ascii="方正仿宋_GBK" w:hAnsi="方正仿宋_GBK" w:eastAsia="方正仿宋_GBK" w:cs="方正仿宋_GBK"/>
          <w:kern w:val="0"/>
          <w:lang w:val="en-US" w:bidi="en-US"/>
        </w:rPr>
        <w:t>个三级指标构成。</w:t>
      </w:r>
    </w:p>
    <w:p>
      <w:pPr>
        <w:pStyle w:val="3"/>
        <w:spacing w:before="0" w:after="0" w:line="560" w:lineRule="exact"/>
        <w:ind w:firstLine="64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3.绩效评价方法</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p>
    <w:p>
      <w:pPr>
        <w:pStyle w:val="3"/>
        <w:spacing w:before="0" w:after="0" w:line="560" w:lineRule="exact"/>
        <w:ind w:firstLine="64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4.绩效评价标准</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本次项目绩效评价标准采用计划标准，以预先制定的目标、计划、预算、定额等数据作为评价的标准，衡量财政支出绩效目标完成程度。</w:t>
      </w:r>
      <w:bookmarkEnd w:id="67"/>
      <w:bookmarkEnd w:id="68"/>
      <w:bookmarkStart w:id="74" w:name="_Toc6819"/>
      <w:bookmarkStart w:id="75" w:name="_Toc10700"/>
      <w:bookmarkStart w:id="76" w:name="_Toc9682"/>
      <w:bookmarkStart w:id="77" w:name="_Toc21253"/>
      <w:bookmarkStart w:id="78" w:name="_Toc242"/>
    </w:p>
    <w:p>
      <w:pPr>
        <w:pStyle w:val="3"/>
        <w:spacing w:before="0" w:after="0"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（三）绩效评价工作过程</w:t>
      </w:r>
    </w:p>
    <w:p>
      <w:pPr>
        <w:pStyle w:val="3"/>
        <w:spacing w:before="0" w:after="0" w:line="560" w:lineRule="exact"/>
        <w:ind w:firstLine="64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第一阶段：前期准备</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认真学习相关要求与规定，成立绩效评价工作组，作为绩效评价工作具体实施机构，工作组成员构成如下：</w:t>
      </w:r>
    </w:p>
    <w:p>
      <w:pPr>
        <w:snapToGrid w:val="0"/>
        <w:spacing w:line="560" w:lineRule="exact"/>
        <w:ind w:firstLine="640"/>
        <w:rPr>
          <w:rStyle w:val="17"/>
          <w:rFonts w:ascii="仿宋" w:hAnsi="仿宋" w:eastAsia="仿宋" w:cs="仿宋"/>
          <w:b w:val="0"/>
          <w:sz w:val="32"/>
          <w:szCs w:val="32"/>
        </w:rPr>
      </w:pPr>
      <w:bookmarkStart w:id="79" w:name="_Hlk126162181"/>
      <w:r>
        <w:rPr>
          <w:rStyle w:val="17"/>
          <w:rFonts w:hint="eastAsia" w:ascii="仿宋" w:hAnsi="仿宋" w:eastAsia="仿宋" w:cs="仿宋"/>
          <w:sz w:val="32"/>
          <w:szCs w:val="32"/>
        </w:rPr>
        <w:t>莎车县水管总站绩效自评工作领导小组</w:t>
      </w:r>
      <w:bookmarkEnd w:id="79"/>
      <w:r>
        <w:rPr>
          <w:rStyle w:val="17"/>
          <w:rFonts w:hint="eastAsia" w:ascii="仿宋" w:hAnsi="仿宋" w:eastAsia="仿宋" w:cs="仿宋"/>
          <w:sz w:val="32"/>
          <w:szCs w:val="32"/>
        </w:rPr>
        <w:t>成员如下：</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周鑫足、张依国任评价组组长，职务为水利局党委书记、局长，绩效评价工作职责为审核绩效评价工作；</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李岩、赵勇任评价组副组长，职务为水利局副局长，绩效评价工作职责为汇总绩效评价工作；</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孙彬、易鑫、陆政、张涛等任评价组组员，绩效评价工作职责为填报绩效评价表，撰写绩效评价报告。</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组  长：周鑫足         党委书记</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 xml:space="preserve">        张依国         局长 </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副组长：李岩           副局长</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 xml:space="preserve">        赵勇           副局长        </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成  员：孙彬           财务股股长</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 xml:space="preserve">        易鑫           办公室主任</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 xml:space="preserve">        陆政           工程股股长</w:t>
      </w:r>
    </w:p>
    <w:p>
      <w:pPr>
        <w:pStyle w:val="7"/>
        <w:spacing w:line="540" w:lineRule="exact"/>
        <w:ind w:firstLine="1920" w:firstLineChars="60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张涛           改水办主任</w:t>
      </w:r>
    </w:p>
    <w:p>
      <w:pPr>
        <w:pStyle w:val="3"/>
        <w:spacing w:before="0" w:after="0" w:line="560" w:lineRule="exact"/>
        <w:ind w:firstLine="64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第二阶段：组织实施</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本单位在莎车县水利局，由项目负责领导张依国主持召开会议，就喀什地区莎车县艾牙河达木斯乡1村、8村和霍什拉甫乡11村、12村中小河流治理工程项目建设内容、项目管理情况、资金使用合规性及项目产生效益进行研究评判。</w:t>
      </w:r>
    </w:p>
    <w:p>
      <w:pPr>
        <w:pStyle w:val="3"/>
        <w:spacing w:before="0" w:after="0" w:line="560" w:lineRule="exact"/>
        <w:ind w:firstLine="64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第三阶段：分析评价</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首先按照指标体系进行定量、定性分析，其次开展量化打分，综合评价工作，形成初步评价结论，最后归纳整体项目情况与存在问题，撰写部门绩效评价报告。</w:t>
      </w:r>
    </w:p>
    <w:p>
      <w:pPr>
        <w:pStyle w:val="3"/>
        <w:spacing w:before="0" w:after="0" w:line="560" w:lineRule="exact"/>
        <w:ind w:firstLine="640"/>
        <w:rPr>
          <w:rFonts w:ascii="方正楷体_GBK" w:hAnsi="方正楷体_GBK" w:eastAsia="方正楷体_GBK" w:cs="方正楷体_GBK"/>
          <w:sz w:val="32"/>
          <w:szCs w:val="32"/>
        </w:rPr>
      </w:pPr>
      <w:bookmarkStart w:id="80" w:name="_Toc2618"/>
      <w:r>
        <w:rPr>
          <w:rFonts w:hint="eastAsia" w:ascii="方正楷体_GBK" w:hAnsi="方正楷体_GBK" w:eastAsia="方正楷体_GBK" w:cs="方正楷体_GBK"/>
          <w:sz w:val="32"/>
          <w:szCs w:val="32"/>
        </w:rPr>
        <w:t>第四阶段：撰写与提交评价报告</w:t>
      </w:r>
      <w:bookmarkEnd w:id="80"/>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项目撰写绩效评价报告，按照绩效系统中统一格式和文本框架撰写绩效评价报告。</w:t>
      </w:r>
    </w:p>
    <w:p>
      <w:pPr>
        <w:pStyle w:val="3"/>
        <w:spacing w:before="0" w:after="0" w:line="560" w:lineRule="exact"/>
        <w:ind w:firstLine="640"/>
        <w:rPr>
          <w:rFonts w:ascii="方正楷体_GBK" w:hAnsi="方正楷体_GBK" w:eastAsia="方正楷体_GBK" w:cs="方正楷体_GBK"/>
          <w:sz w:val="32"/>
          <w:szCs w:val="32"/>
        </w:rPr>
      </w:pPr>
      <w:bookmarkStart w:id="81" w:name="_Toc5055"/>
      <w:r>
        <w:rPr>
          <w:rFonts w:hint="eastAsia" w:ascii="方正楷体_GBK" w:hAnsi="方正楷体_GBK" w:eastAsia="方正楷体_GBK" w:cs="方正楷体_GBK"/>
          <w:sz w:val="32"/>
          <w:szCs w:val="32"/>
        </w:rPr>
        <w:t>第五阶段：归集档案</w:t>
      </w:r>
      <w:bookmarkEnd w:id="81"/>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建立和落实档案管理制度，将项目相关资料存档，包括但不限于：评价项目基本情况和相关文件、评价实施方案、项目支付资料等相关档案。</w:t>
      </w:r>
    </w:p>
    <w:p>
      <w:pPr>
        <w:pStyle w:val="3"/>
        <w:spacing w:before="0" w:after="0" w:line="560" w:lineRule="exact"/>
        <w:ind w:firstLine="643"/>
        <w:rPr>
          <w:rFonts w:ascii="黑体" w:hAnsi="黑体" w:eastAsia="黑体"/>
          <w:sz w:val="32"/>
          <w:szCs w:val="32"/>
        </w:rPr>
      </w:pPr>
      <w:r>
        <w:rPr>
          <w:rFonts w:hint="eastAsia" w:ascii="黑体" w:hAnsi="黑体" w:eastAsia="黑体"/>
          <w:sz w:val="32"/>
          <w:szCs w:val="32"/>
        </w:rPr>
        <w:t>三、综合评价情况及评价结论</w:t>
      </w:r>
    </w:p>
    <w:p>
      <w:pPr>
        <w:pStyle w:val="3"/>
        <w:spacing w:before="0" w:after="0"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（一）综合评价情况</w:t>
      </w:r>
    </w:p>
    <w:p>
      <w:pPr>
        <w:spacing w:line="560" w:lineRule="exact"/>
        <w:ind w:firstLine="640"/>
        <w:rPr>
          <w:rFonts w:eastAsia="方正仿宋_GBK" w:cs="方正仿宋_GBK"/>
          <w:sz w:val="32"/>
          <w:szCs w:val="32"/>
        </w:rPr>
      </w:pPr>
      <w:r>
        <w:rPr>
          <w:rFonts w:hint="eastAsia" w:ascii="Times New Roman" w:hAnsi="方正仿宋_GBK" w:eastAsia="方正仿宋_GBK" w:cs="方正仿宋_GBK"/>
          <w:sz w:val="32"/>
          <w:szCs w:val="32"/>
          <w:lang w:bidi="ar"/>
        </w:rPr>
        <w:t>经评价组通过实地调研、综合分析法、</w:t>
      </w:r>
      <w:r>
        <w:rPr>
          <w:rFonts w:hint="eastAsia" w:ascii="仿宋_GB2312" w:hAnsi="仿宋" w:cs="宋体"/>
          <w:sz w:val="32"/>
          <w:szCs w:val="32"/>
          <w:lang w:bidi="ar"/>
        </w:rPr>
        <w:t>问卷调查法</w:t>
      </w:r>
      <w:r>
        <w:rPr>
          <w:rFonts w:hint="eastAsia" w:ascii="Times New Roman" w:hAnsi="方正仿宋_GBK" w:eastAsia="方正仿宋_GBK" w:cs="方正仿宋_GBK"/>
          <w:sz w:val="32"/>
          <w:szCs w:val="32"/>
          <w:lang w:bidi="ar"/>
        </w:rPr>
        <w:t>等方式，主要综合</w:t>
      </w:r>
      <w:r>
        <w:rPr>
          <w:rFonts w:hint="eastAsia" w:ascii="Times New Roman" w:hAnsi="方正仿宋_GBK" w:eastAsia="方正仿宋_GBK" w:cs="方正仿宋_GBK"/>
          <w:sz w:val="32"/>
          <w:szCs w:val="32"/>
        </w:rPr>
        <w:t>分析法对项目的决策、实施、产出、效益进行综合评价分析，最终评分</w:t>
      </w:r>
      <w:r>
        <w:rPr>
          <w:rFonts w:eastAsia="方正仿宋_GBK" w:cs="方正仿宋_GBK"/>
          <w:sz w:val="32"/>
          <w:szCs w:val="32"/>
        </w:rPr>
        <w:t>94</w:t>
      </w:r>
      <w:r>
        <w:rPr>
          <w:rFonts w:hint="eastAsia" w:ascii="Times New Roman" w:hAnsi="方正仿宋_GBK" w:eastAsia="方正仿宋_GBK" w:cs="方正仿宋_GBK"/>
          <w:sz w:val="32"/>
          <w:szCs w:val="32"/>
        </w:rPr>
        <w:t>分。</w:t>
      </w:r>
    </w:p>
    <w:p>
      <w:pPr>
        <w:spacing w:line="560" w:lineRule="exact"/>
        <w:ind w:firstLine="640"/>
        <w:jc w:val="center"/>
        <w:rPr>
          <w:rFonts w:eastAsia="方正仿宋_GBK" w:cs="方正仿宋_GBK"/>
          <w:sz w:val="32"/>
          <w:szCs w:val="32"/>
        </w:rPr>
      </w:pPr>
      <w:r>
        <w:rPr>
          <w:rFonts w:ascii="Times New Roman" w:hAnsi="Times New Roman" w:eastAsia="方正仿宋_GBK" w:cs="方正仿宋_GBK"/>
          <w:sz w:val="32"/>
          <w:szCs w:val="32"/>
          <w:lang w:bidi="ar"/>
        </w:rPr>
        <w:t>***</w:t>
      </w:r>
      <w:r>
        <w:rPr>
          <w:rFonts w:hint="eastAsia" w:ascii="Times New Roman" w:hAnsi="方正仿宋_GBK" w:eastAsia="方正仿宋_GBK" w:cs="方正仿宋_GBK"/>
          <w:sz w:val="32"/>
          <w:szCs w:val="32"/>
          <w:lang w:bidi="ar"/>
        </w:rPr>
        <w:t>项目得分情况表</w:t>
      </w:r>
    </w:p>
    <w:tbl>
      <w:tblPr>
        <w:tblStyle w:val="14"/>
        <w:tblW w:w="0" w:type="auto"/>
        <w:jc w:val="center"/>
        <w:tblLayout w:type="fixed"/>
        <w:tblCellMar>
          <w:top w:w="0" w:type="dxa"/>
          <w:left w:w="0" w:type="dxa"/>
          <w:bottom w:w="0" w:type="dxa"/>
          <w:right w:w="0" w:type="dxa"/>
        </w:tblCellMar>
      </w:tblPr>
      <w:tblGrid>
        <w:gridCol w:w="2317"/>
        <w:gridCol w:w="1840"/>
        <w:gridCol w:w="2083"/>
        <w:gridCol w:w="2085"/>
      </w:tblGrid>
      <w:tr>
        <w:tblPrEx>
          <w:tblCellMar>
            <w:top w:w="0" w:type="dxa"/>
            <w:left w:w="0" w:type="dxa"/>
            <w:bottom w:w="0" w:type="dxa"/>
            <w:right w:w="0" w:type="dxa"/>
          </w:tblCellMar>
        </w:tblPrEx>
        <w:trPr>
          <w:trHeight w:val="392" w:hRule="atLeast"/>
          <w:jc w:val="center"/>
        </w:trPr>
        <w:tc>
          <w:tcPr>
            <w:tcW w:w="23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一级指标</w:t>
            </w:r>
          </w:p>
        </w:tc>
        <w:tc>
          <w:tcPr>
            <w:tcW w:w="184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权重</w:t>
            </w:r>
          </w:p>
        </w:tc>
        <w:tc>
          <w:tcPr>
            <w:tcW w:w="20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得分率</w:t>
            </w:r>
          </w:p>
        </w:tc>
        <w:tc>
          <w:tcPr>
            <w:tcW w:w="20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实际得分</w:t>
            </w:r>
          </w:p>
        </w:tc>
      </w:tr>
      <w:tr>
        <w:tblPrEx>
          <w:tblCellMar>
            <w:top w:w="0" w:type="dxa"/>
            <w:left w:w="0" w:type="dxa"/>
            <w:bottom w:w="0" w:type="dxa"/>
            <w:right w:w="0" w:type="dxa"/>
          </w:tblCellMar>
        </w:tblPrEx>
        <w:trPr>
          <w:trHeight w:val="515" w:hRule="atLeast"/>
          <w:jc w:val="center"/>
        </w:trPr>
        <w:tc>
          <w:tcPr>
            <w:tcW w:w="231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项目决策</w:t>
            </w:r>
          </w:p>
        </w:tc>
        <w:tc>
          <w:tcPr>
            <w:tcW w:w="18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20</w:t>
            </w:r>
          </w:p>
        </w:tc>
        <w:tc>
          <w:tcPr>
            <w:tcW w:w="20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20%</w:t>
            </w:r>
          </w:p>
        </w:tc>
        <w:tc>
          <w:tcPr>
            <w:tcW w:w="20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20</w:t>
            </w:r>
          </w:p>
        </w:tc>
      </w:tr>
      <w:tr>
        <w:tblPrEx>
          <w:tblCellMar>
            <w:top w:w="0" w:type="dxa"/>
            <w:left w:w="0" w:type="dxa"/>
            <w:bottom w:w="0" w:type="dxa"/>
            <w:right w:w="0" w:type="dxa"/>
          </w:tblCellMar>
        </w:tblPrEx>
        <w:trPr>
          <w:trHeight w:val="312" w:hRule="atLeast"/>
          <w:jc w:val="center"/>
        </w:trPr>
        <w:tc>
          <w:tcPr>
            <w:tcW w:w="231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项目过程</w:t>
            </w:r>
          </w:p>
        </w:tc>
        <w:tc>
          <w:tcPr>
            <w:tcW w:w="18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20</w:t>
            </w:r>
          </w:p>
        </w:tc>
        <w:tc>
          <w:tcPr>
            <w:tcW w:w="20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20%</w:t>
            </w:r>
          </w:p>
        </w:tc>
        <w:tc>
          <w:tcPr>
            <w:tcW w:w="20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20</w:t>
            </w:r>
          </w:p>
        </w:tc>
      </w:tr>
      <w:tr>
        <w:tblPrEx>
          <w:tblCellMar>
            <w:top w:w="0" w:type="dxa"/>
            <w:left w:w="0" w:type="dxa"/>
            <w:bottom w:w="0" w:type="dxa"/>
            <w:right w:w="0" w:type="dxa"/>
          </w:tblCellMar>
        </w:tblPrEx>
        <w:trPr>
          <w:trHeight w:val="312" w:hRule="atLeast"/>
          <w:jc w:val="center"/>
        </w:trPr>
        <w:tc>
          <w:tcPr>
            <w:tcW w:w="231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项目产出</w:t>
            </w:r>
          </w:p>
        </w:tc>
        <w:tc>
          <w:tcPr>
            <w:tcW w:w="18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40</w:t>
            </w:r>
          </w:p>
        </w:tc>
        <w:tc>
          <w:tcPr>
            <w:tcW w:w="20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40%</w:t>
            </w:r>
          </w:p>
        </w:tc>
        <w:tc>
          <w:tcPr>
            <w:tcW w:w="20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38</w:t>
            </w:r>
          </w:p>
        </w:tc>
      </w:tr>
      <w:tr>
        <w:tblPrEx>
          <w:tblCellMar>
            <w:top w:w="0" w:type="dxa"/>
            <w:left w:w="0" w:type="dxa"/>
            <w:bottom w:w="0" w:type="dxa"/>
            <w:right w:w="0" w:type="dxa"/>
          </w:tblCellMar>
        </w:tblPrEx>
        <w:trPr>
          <w:trHeight w:val="390" w:hRule="atLeast"/>
          <w:jc w:val="center"/>
        </w:trPr>
        <w:tc>
          <w:tcPr>
            <w:tcW w:w="231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项目效益</w:t>
            </w:r>
          </w:p>
        </w:tc>
        <w:tc>
          <w:tcPr>
            <w:tcW w:w="18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20</w:t>
            </w:r>
          </w:p>
        </w:tc>
        <w:tc>
          <w:tcPr>
            <w:tcW w:w="20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20%</w:t>
            </w:r>
          </w:p>
        </w:tc>
        <w:tc>
          <w:tcPr>
            <w:tcW w:w="20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16</w:t>
            </w:r>
          </w:p>
        </w:tc>
      </w:tr>
      <w:tr>
        <w:tblPrEx>
          <w:tblCellMar>
            <w:top w:w="0" w:type="dxa"/>
            <w:left w:w="0" w:type="dxa"/>
            <w:bottom w:w="0" w:type="dxa"/>
            <w:right w:w="0" w:type="dxa"/>
          </w:tblCellMar>
        </w:tblPrEx>
        <w:trPr>
          <w:trHeight w:val="432" w:hRule="atLeast"/>
          <w:jc w:val="center"/>
        </w:trPr>
        <w:tc>
          <w:tcPr>
            <w:tcW w:w="231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合计</w:t>
            </w:r>
          </w:p>
        </w:tc>
        <w:tc>
          <w:tcPr>
            <w:tcW w:w="18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20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20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94</w:t>
            </w:r>
          </w:p>
        </w:tc>
      </w:tr>
    </w:tbl>
    <w:p>
      <w:pPr>
        <w:pStyle w:val="3"/>
        <w:spacing w:before="0" w:after="0"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（二）综合评价结论</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运用项目组制定评价指标体系及财政部《项目支出绩效评价管理办法》（财预〔2020〕10号）文件评分标准进行评价，该项目最终评分</w:t>
      </w:r>
      <w:r>
        <w:rPr>
          <w:rFonts w:ascii="方正仿宋_GBK" w:hAnsi="方正仿宋_GBK" w:eastAsia="方正仿宋_GBK" w:cs="方正仿宋_GBK"/>
          <w:kern w:val="0"/>
          <w:lang w:val="en-US" w:bidi="en-US"/>
        </w:rPr>
        <w:t>100</w:t>
      </w:r>
      <w:r>
        <w:rPr>
          <w:rFonts w:hint="eastAsia" w:ascii="方正仿宋_GBK" w:hAnsi="方正仿宋_GBK" w:eastAsia="方正仿宋_GBK" w:cs="方正仿宋_GBK"/>
          <w:kern w:val="0"/>
          <w:lang w:val="en-US" w:bidi="en-US"/>
        </w:rPr>
        <w:t>分，绩效评级为“优”，具体得分情况为：项目决策</w:t>
      </w:r>
      <w:r>
        <w:rPr>
          <w:rFonts w:ascii="方正仿宋_GBK" w:hAnsi="方正仿宋_GBK" w:eastAsia="方正仿宋_GBK" w:cs="方正仿宋_GBK"/>
          <w:kern w:val="0"/>
          <w:lang w:val="en-US" w:bidi="en-US"/>
        </w:rPr>
        <w:t>20</w:t>
      </w:r>
      <w:r>
        <w:rPr>
          <w:rFonts w:hint="eastAsia" w:ascii="方正仿宋_GBK" w:hAnsi="方正仿宋_GBK" w:eastAsia="方正仿宋_GBK" w:cs="方正仿宋_GBK"/>
          <w:kern w:val="0"/>
          <w:lang w:val="en-US" w:bidi="en-US"/>
        </w:rPr>
        <w:t>分、项目过程</w:t>
      </w:r>
      <w:r>
        <w:rPr>
          <w:rFonts w:ascii="方正仿宋_GBK" w:hAnsi="方正仿宋_GBK" w:eastAsia="方正仿宋_GBK" w:cs="方正仿宋_GBK"/>
          <w:kern w:val="0"/>
          <w:lang w:val="en-US" w:bidi="en-US"/>
        </w:rPr>
        <w:t>20</w:t>
      </w:r>
      <w:r>
        <w:rPr>
          <w:rFonts w:hint="eastAsia" w:ascii="方正仿宋_GBK" w:hAnsi="方正仿宋_GBK" w:eastAsia="方正仿宋_GBK" w:cs="方正仿宋_GBK"/>
          <w:kern w:val="0"/>
          <w:lang w:val="en-US" w:bidi="en-US"/>
        </w:rPr>
        <w:t>分、项目产出</w:t>
      </w:r>
      <w:r>
        <w:rPr>
          <w:rFonts w:ascii="方正仿宋_GBK" w:hAnsi="方正仿宋_GBK" w:eastAsia="方正仿宋_GBK" w:cs="方正仿宋_GBK"/>
          <w:kern w:val="0"/>
          <w:lang w:val="en-US" w:bidi="en-US"/>
        </w:rPr>
        <w:t>40</w:t>
      </w:r>
      <w:r>
        <w:rPr>
          <w:rFonts w:hint="eastAsia" w:ascii="方正仿宋_GBK" w:hAnsi="方正仿宋_GBK" w:eastAsia="方正仿宋_GBK" w:cs="方正仿宋_GBK"/>
          <w:kern w:val="0"/>
          <w:lang w:val="en-US" w:bidi="en-US"/>
        </w:rPr>
        <w:t>分、项目效益</w:t>
      </w:r>
      <w:r>
        <w:rPr>
          <w:rFonts w:ascii="方正仿宋_GBK" w:hAnsi="方正仿宋_GBK" w:eastAsia="方正仿宋_GBK" w:cs="方正仿宋_GBK"/>
          <w:kern w:val="0"/>
          <w:lang w:val="en-US" w:bidi="en-US"/>
        </w:rPr>
        <w:t>20</w:t>
      </w:r>
      <w:r>
        <w:rPr>
          <w:rFonts w:hint="eastAsia" w:ascii="方正仿宋_GBK" w:hAnsi="方正仿宋_GBK" w:eastAsia="方正仿宋_GBK" w:cs="方正仿宋_GBK"/>
          <w:kern w:val="0"/>
          <w:lang w:val="en-US" w:bidi="en-US"/>
        </w:rPr>
        <w:t>分。在项目决策方面：通过莎车县水管总站绩效自评工作领导小组会议研究，且明确了组织领导，职责分工等，整个项目的设立过程科学合理。项目立项依据充分，立项程序规范。</w:t>
      </w:r>
    </w:p>
    <w:bookmarkEnd w:id="74"/>
    <w:bookmarkEnd w:id="75"/>
    <w:bookmarkEnd w:id="76"/>
    <w:bookmarkEnd w:id="77"/>
    <w:bookmarkEnd w:id="78"/>
    <w:p>
      <w:pPr>
        <w:pStyle w:val="3"/>
        <w:spacing w:before="0" w:after="0" w:line="560" w:lineRule="exact"/>
        <w:ind w:firstLine="643"/>
        <w:rPr>
          <w:rFonts w:ascii="黑体" w:hAnsi="黑体" w:eastAsia="黑体"/>
          <w:sz w:val="32"/>
          <w:szCs w:val="32"/>
        </w:rPr>
      </w:pPr>
      <w:r>
        <w:rPr>
          <w:rFonts w:hint="eastAsia" w:ascii="黑体" w:hAnsi="黑体" w:eastAsia="黑体"/>
          <w:sz w:val="32"/>
          <w:szCs w:val="32"/>
        </w:rPr>
        <w:t>四、绩效评价指标分析</w:t>
      </w:r>
    </w:p>
    <w:p>
      <w:pPr>
        <w:pStyle w:val="3"/>
        <w:spacing w:before="0" w:after="0" w:line="560" w:lineRule="exact"/>
        <w:ind w:firstLine="640"/>
        <w:rPr>
          <w:rFonts w:ascii="方正仿宋_GBK" w:hAnsi="方正仿宋_GBK" w:eastAsia="方正仿宋_GBK" w:cs="方正仿宋_GBK"/>
          <w:sz w:val="32"/>
          <w:szCs w:val="32"/>
        </w:rPr>
      </w:pPr>
      <w:bookmarkStart w:id="82" w:name="_Toc68364668"/>
      <w:r>
        <w:rPr>
          <w:rFonts w:hint="eastAsia" w:ascii="方正仿宋_GBK" w:hAnsi="方正仿宋_GBK" w:eastAsia="方正仿宋_GBK" w:cs="方正仿宋_GBK"/>
          <w:sz w:val="32"/>
          <w:szCs w:val="32"/>
        </w:rPr>
        <w:t>（一）项目决策情况</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项目决策类指标包括项目立项、绩效目标和资金投入三方面的内容，由6个三级指标构成，权重分为 20 分，实际得分</w:t>
      </w:r>
      <w:r>
        <w:rPr>
          <w:rFonts w:ascii="方正仿宋_GBK" w:hAnsi="方正仿宋_GBK" w:eastAsia="方正仿宋_GBK" w:cs="方正仿宋_GBK"/>
          <w:kern w:val="0"/>
          <w:lang w:val="en-US" w:bidi="en-US"/>
        </w:rPr>
        <w:t>20</w:t>
      </w:r>
      <w:r>
        <w:rPr>
          <w:rFonts w:hint="eastAsia" w:ascii="方正仿宋_GBK" w:hAnsi="方正仿宋_GBK" w:eastAsia="方正仿宋_GBK" w:cs="方正仿宋_GBK"/>
          <w:kern w:val="0"/>
          <w:lang w:val="en-US" w:bidi="en-US"/>
        </w:rPr>
        <w:t>分，得分率为</w:t>
      </w:r>
      <w:r>
        <w:rPr>
          <w:rFonts w:ascii="方正仿宋_GBK" w:hAnsi="方正仿宋_GBK" w:eastAsia="方正仿宋_GBK" w:cs="方正仿宋_GBK"/>
          <w:kern w:val="0"/>
          <w:lang w:val="en-US" w:bidi="en-US"/>
        </w:rPr>
        <w:t>100</w:t>
      </w:r>
      <w:r>
        <w:rPr>
          <w:rFonts w:hint="eastAsia" w:ascii="方正仿宋_GBK" w:hAnsi="方正仿宋_GBK" w:eastAsia="方正仿宋_GBK" w:cs="方正仿宋_GBK"/>
          <w:kern w:val="0"/>
          <w:lang w:val="en-US" w:bidi="en-US"/>
        </w:rPr>
        <w:t>%。</w:t>
      </w:r>
    </w:p>
    <w:tbl>
      <w:tblPr>
        <w:tblStyle w:val="14"/>
        <w:tblW w:w="0" w:type="auto"/>
        <w:tblInd w:w="0" w:type="dxa"/>
        <w:tblLayout w:type="fixed"/>
        <w:tblCellMar>
          <w:top w:w="0" w:type="dxa"/>
          <w:left w:w="0" w:type="dxa"/>
          <w:bottom w:w="0" w:type="dxa"/>
          <w:right w:w="0" w:type="dxa"/>
        </w:tblCellMar>
      </w:tblPr>
      <w:tblGrid>
        <w:gridCol w:w="2215"/>
        <w:gridCol w:w="2215"/>
        <w:gridCol w:w="2216"/>
        <w:gridCol w:w="2218"/>
      </w:tblGrid>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rPr>
              <w:t>三级指标</w:t>
            </w:r>
          </w:p>
        </w:tc>
        <w:tc>
          <w:tcPr>
            <w:tcW w:w="221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权重</w:t>
            </w:r>
          </w:p>
        </w:tc>
        <w:tc>
          <w:tcPr>
            <w:tcW w:w="221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得分率</w:t>
            </w:r>
          </w:p>
        </w:tc>
        <w:tc>
          <w:tcPr>
            <w:tcW w:w="221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实际得分</w:t>
            </w:r>
          </w:p>
        </w:tc>
      </w:tr>
      <w:tr>
        <w:tblPrEx>
          <w:tblCellMar>
            <w:top w:w="0" w:type="dxa"/>
            <w:left w:w="0" w:type="dxa"/>
            <w:bottom w:w="0" w:type="dxa"/>
            <w:right w:w="0" w:type="dxa"/>
          </w:tblCellMar>
        </w:tblPrEx>
        <w:trPr>
          <w:trHeight w:val="90" w:hRule="atLeast"/>
        </w:trPr>
        <w:tc>
          <w:tcPr>
            <w:tcW w:w="2215" w:type="dxa"/>
            <w:tcBorders>
              <w:top w:val="single" w:color="000000" w:sz="4" w:space="0"/>
              <w:left w:val="single" w:color="000000" w:sz="4" w:space="0"/>
              <w:bottom w:val="nil"/>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立项依据充分性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3</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立项程序规范性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2</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绩效目标合理性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3</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绩效指标明确性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2</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预算编制科学性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5</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5</w:t>
            </w:r>
          </w:p>
        </w:tc>
      </w:tr>
      <w:tr>
        <w:tblPrEx>
          <w:tblCellMar>
            <w:top w:w="0" w:type="dxa"/>
            <w:left w:w="0" w:type="dxa"/>
            <w:bottom w:w="0" w:type="dxa"/>
            <w:right w:w="0" w:type="dxa"/>
          </w:tblCellMar>
        </w:tblPrEx>
        <w:trPr>
          <w:trHeight w:val="43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资金分配合理性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5</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5</w:t>
            </w:r>
          </w:p>
        </w:tc>
      </w:tr>
      <w:tr>
        <w:tblPrEx>
          <w:tblCellMar>
            <w:top w:w="0" w:type="dxa"/>
            <w:left w:w="0" w:type="dxa"/>
            <w:bottom w:w="0" w:type="dxa"/>
            <w:right w:w="0" w:type="dxa"/>
          </w:tblCellMar>
        </w:tblPrEx>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合计</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20</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20</w:t>
            </w:r>
          </w:p>
        </w:tc>
      </w:tr>
    </w:tbl>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（1）立项依据充分性：结合莎车县水管总站单位职责，并组织实施。围绕年度工作重点和工作计划制定经费预算，根据评分标准，该指标不扣分，得</w:t>
      </w:r>
      <w:r>
        <w:rPr>
          <w:rFonts w:ascii="方正仿宋_GBK" w:hAnsi="方正仿宋_GBK" w:eastAsia="方正仿宋_GBK" w:cs="方正仿宋_GBK"/>
          <w:kern w:val="0"/>
          <w:lang w:val="en-US" w:bidi="en-US"/>
        </w:rPr>
        <w:t>3</w:t>
      </w:r>
      <w:r>
        <w:rPr>
          <w:rFonts w:hint="eastAsia" w:ascii="方正仿宋_GBK" w:hAnsi="方正仿宋_GBK" w:eastAsia="方正仿宋_GBK" w:cs="方正仿宋_GBK"/>
          <w:kern w:val="0"/>
          <w:lang w:val="en-US" w:bidi="en-US"/>
        </w:rPr>
        <w:t>分。</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（2）立项程序规范性：根据决策依据编制工作计划和经费预算，经过与部门县政府分管领导进行沟通、筛选确定经费预算计划，上党委会研究确定最终预算方案，根据评分标准，该指标不扣分，得</w:t>
      </w:r>
      <w:r>
        <w:rPr>
          <w:rFonts w:ascii="方正仿宋_GBK" w:hAnsi="方正仿宋_GBK" w:eastAsia="方正仿宋_GBK" w:cs="方正仿宋_GBK"/>
          <w:kern w:val="0"/>
          <w:lang w:val="en-US" w:bidi="en-US"/>
        </w:rPr>
        <w:t>2</w:t>
      </w:r>
      <w:r>
        <w:rPr>
          <w:rFonts w:hint="eastAsia" w:ascii="方正仿宋_GBK" w:hAnsi="方正仿宋_GBK" w:eastAsia="方正仿宋_GBK" w:cs="方正仿宋_GBK"/>
          <w:kern w:val="0"/>
          <w:lang w:val="en-US" w:bidi="en-US"/>
        </w:rPr>
        <w:t>分。</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（3）绩效目标合理性：制定了实施方案，明确了总体思路及目标、并对任务进行了详细分解，对目标进行了细化，根据评分标准，该指标不扣分，得</w:t>
      </w:r>
      <w:r>
        <w:rPr>
          <w:rFonts w:ascii="方正仿宋_GBK" w:hAnsi="方正仿宋_GBK" w:eastAsia="方正仿宋_GBK" w:cs="方正仿宋_GBK"/>
          <w:kern w:val="0"/>
          <w:lang w:val="en-US" w:bidi="en-US"/>
        </w:rPr>
        <w:t>3</w:t>
      </w:r>
      <w:r>
        <w:rPr>
          <w:rFonts w:hint="eastAsia" w:ascii="方正仿宋_GBK" w:hAnsi="方正仿宋_GBK" w:eastAsia="方正仿宋_GBK" w:cs="方正仿宋_GBK"/>
          <w:kern w:val="0"/>
          <w:lang w:val="en-US" w:bidi="en-US"/>
        </w:rPr>
        <w:t>分。</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（4）绩效指标明确性： 将项目绩效目标细化分解为具体的绩效指标，根据评分标准，该指标不扣分，得</w:t>
      </w:r>
      <w:r>
        <w:rPr>
          <w:rFonts w:ascii="方正仿宋_GBK" w:hAnsi="方正仿宋_GBK" w:eastAsia="方正仿宋_GBK" w:cs="方正仿宋_GBK"/>
          <w:kern w:val="0"/>
          <w:lang w:val="en-US" w:bidi="en-US"/>
        </w:rPr>
        <w:t>2</w:t>
      </w:r>
      <w:r>
        <w:rPr>
          <w:rFonts w:hint="eastAsia" w:ascii="方正仿宋_GBK" w:hAnsi="方正仿宋_GBK" w:eastAsia="方正仿宋_GBK" w:cs="方正仿宋_GBK"/>
          <w:kern w:val="0"/>
          <w:lang w:val="en-US" w:bidi="en-US"/>
        </w:rPr>
        <w:t>分。</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（5）预算编制科学性： 预算编制经过科学论证，内容与项目内容匹配，项目投资额与工作任务相匹配，根据评分标准，该指标不扣分，得</w:t>
      </w:r>
      <w:r>
        <w:rPr>
          <w:rFonts w:ascii="方正仿宋_GBK" w:hAnsi="方正仿宋_GBK" w:eastAsia="方正仿宋_GBK" w:cs="方正仿宋_GBK"/>
          <w:kern w:val="0"/>
          <w:lang w:val="en-US" w:bidi="en-US"/>
        </w:rPr>
        <w:t>5</w:t>
      </w:r>
      <w:r>
        <w:rPr>
          <w:rFonts w:hint="eastAsia" w:ascii="方正仿宋_GBK" w:hAnsi="方正仿宋_GBK" w:eastAsia="方正仿宋_GBK" w:cs="方正仿宋_GBK"/>
          <w:kern w:val="0"/>
          <w:lang w:val="en-US" w:bidi="en-US"/>
        </w:rPr>
        <w:t>分。</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（6）资金分配合理性：资金分配与实际相适应，根据评分标准，该指标不扣分，得</w:t>
      </w:r>
      <w:r>
        <w:rPr>
          <w:rFonts w:ascii="方正仿宋_GBK" w:hAnsi="方正仿宋_GBK" w:eastAsia="方正仿宋_GBK" w:cs="方正仿宋_GBK"/>
          <w:kern w:val="0"/>
          <w:lang w:val="en-US" w:bidi="en-US"/>
        </w:rPr>
        <w:t>5</w:t>
      </w:r>
      <w:r>
        <w:rPr>
          <w:rFonts w:hint="eastAsia" w:ascii="方正仿宋_GBK" w:hAnsi="方正仿宋_GBK" w:eastAsia="方正仿宋_GBK" w:cs="方正仿宋_GBK"/>
          <w:kern w:val="0"/>
          <w:lang w:val="en-US" w:bidi="en-US"/>
        </w:rPr>
        <w:t>分。</w:t>
      </w:r>
    </w:p>
    <w:p>
      <w:pPr>
        <w:pStyle w:val="3"/>
        <w:spacing w:before="0" w:after="0"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（二）项目过程情况</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项目过程类指标包括资金管理和组织实施两方面的内容，由 5个三级指标构成，权重分为20分，实际得分</w:t>
      </w:r>
      <w:r>
        <w:rPr>
          <w:rFonts w:ascii="方正仿宋_GBK" w:hAnsi="方正仿宋_GBK" w:eastAsia="方正仿宋_GBK" w:cs="方正仿宋_GBK"/>
          <w:kern w:val="0"/>
          <w:lang w:val="en-US" w:bidi="en-US"/>
        </w:rPr>
        <w:t>20</w:t>
      </w:r>
      <w:r>
        <w:rPr>
          <w:rFonts w:hint="eastAsia" w:ascii="方正仿宋_GBK" w:hAnsi="方正仿宋_GBK" w:eastAsia="方正仿宋_GBK" w:cs="方正仿宋_GBK"/>
          <w:kern w:val="0"/>
          <w:lang w:val="en-US" w:bidi="en-US"/>
        </w:rPr>
        <w:t>分，得分率为</w:t>
      </w:r>
      <w:r>
        <w:rPr>
          <w:rFonts w:ascii="方正仿宋_GBK" w:hAnsi="方正仿宋_GBK" w:eastAsia="方正仿宋_GBK" w:cs="方正仿宋_GBK"/>
          <w:kern w:val="0"/>
          <w:lang w:val="en-US" w:bidi="en-US"/>
        </w:rPr>
        <w:t>100</w:t>
      </w:r>
      <w:r>
        <w:rPr>
          <w:rFonts w:hint="eastAsia" w:ascii="方正仿宋_GBK" w:hAnsi="方正仿宋_GBK" w:eastAsia="方正仿宋_GBK" w:cs="方正仿宋_GBK"/>
          <w:kern w:val="0"/>
          <w:lang w:val="en-US" w:bidi="en-US"/>
        </w:rPr>
        <w:t>%。</w:t>
      </w:r>
    </w:p>
    <w:tbl>
      <w:tblPr>
        <w:tblStyle w:val="14"/>
        <w:tblW w:w="0" w:type="auto"/>
        <w:tblInd w:w="0" w:type="dxa"/>
        <w:tblLayout w:type="fixed"/>
        <w:tblCellMar>
          <w:top w:w="0" w:type="dxa"/>
          <w:left w:w="0" w:type="dxa"/>
          <w:bottom w:w="0" w:type="dxa"/>
          <w:right w:w="0" w:type="dxa"/>
        </w:tblCellMar>
      </w:tblPr>
      <w:tblGrid>
        <w:gridCol w:w="2532"/>
        <w:gridCol w:w="2110"/>
        <w:gridCol w:w="2110"/>
        <w:gridCol w:w="2111"/>
      </w:tblGrid>
      <w:tr>
        <w:tblPrEx>
          <w:tblCellMar>
            <w:top w:w="0" w:type="dxa"/>
            <w:left w:w="0" w:type="dxa"/>
            <w:bottom w:w="0" w:type="dxa"/>
            <w:right w:w="0" w:type="dxa"/>
          </w:tblCellMar>
        </w:tblPrEx>
        <w:trPr>
          <w:trHeight w:val="450"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rPr>
              <w:t>三级指标</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权重</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得分率</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实际得分</w:t>
            </w:r>
          </w:p>
        </w:tc>
      </w:tr>
      <w:tr>
        <w:tblPrEx>
          <w:tblCellMar>
            <w:top w:w="0" w:type="dxa"/>
            <w:left w:w="0" w:type="dxa"/>
            <w:bottom w:w="0" w:type="dxa"/>
            <w:right w:w="0" w:type="dxa"/>
          </w:tblCellMar>
        </w:tblPrEx>
        <w:trPr>
          <w:trHeight w:val="409"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资金到位率</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5</w:t>
            </w:r>
          </w:p>
        </w:tc>
      </w:tr>
      <w:tr>
        <w:tblPrEx>
          <w:tblCellMar>
            <w:top w:w="0" w:type="dxa"/>
            <w:left w:w="0" w:type="dxa"/>
            <w:bottom w:w="0" w:type="dxa"/>
            <w:right w:w="0" w:type="dxa"/>
          </w:tblCellMar>
        </w:tblPrEx>
        <w:trPr>
          <w:trHeight w:val="504"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预算执行率</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5</w:t>
            </w:r>
          </w:p>
        </w:tc>
      </w:tr>
      <w:tr>
        <w:tblPrEx>
          <w:tblCellMar>
            <w:top w:w="0" w:type="dxa"/>
            <w:left w:w="0" w:type="dxa"/>
            <w:bottom w:w="0" w:type="dxa"/>
            <w:right w:w="0" w:type="dxa"/>
          </w:tblCellMar>
        </w:tblPrEx>
        <w:trPr>
          <w:trHeight w:val="90"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资金使用合规性</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5</w:t>
            </w:r>
          </w:p>
        </w:tc>
      </w:tr>
      <w:tr>
        <w:tblPrEx>
          <w:tblCellMar>
            <w:top w:w="0" w:type="dxa"/>
            <w:left w:w="0" w:type="dxa"/>
            <w:bottom w:w="0" w:type="dxa"/>
            <w:right w:w="0" w:type="dxa"/>
          </w:tblCellMar>
        </w:tblPrEx>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管理制度健全性</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2</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2</w:t>
            </w:r>
          </w:p>
        </w:tc>
      </w:tr>
      <w:tr>
        <w:tblPrEx>
          <w:tblCellMar>
            <w:top w:w="0" w:type="dxa"/>
            <w:left w:w="0" w:type="dxa"/>
            <w:bottom w:w="0" w:type="dxa"/>
            <w:right w:w="0" w:type="dxa"/>
          </w:tblCellMar>
        </w:tblPrEx>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制度执行</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3</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3</w:t>
            </w:r>
          </w:p>
        </w:tc>
      </w:tr>
      <w:tr>
        <w:tblPrEx>
          <w:tblCellMar>
            <w:top w:w="0" w:type="dxa"/>
            <w:left w:w="0" w:type="dxa"/>
            <w:bottom w:w="0" w:type="dxa"/>
            <w:right w:w="0" w:type="dxa"/>
          </w:tblCellMar>
        </w:tblPrEx>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合计</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20</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20</w:t>
            </w:r>
          </w:p>
        </w:tc>
      </w:tr>
    </w:tbl>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（1）资金到位率：财政资金足额拨付到位，牵头单位能够及时足额按照合同约定将专项资金拨付给联合体单位，根据评分标准，该指标不扣分，得</w:t>
      </w:r>
      <w:r>
        <w:rPr>
          <w:rFonts w:ascii="方正仿宋_GBK" w:hAnsi="方正仿宋_GBK" w:eastAsia="方正仿宋_GBK" w:cs="方正仿宋_GBK"/>
          <w:kern w:val="0"/>
          <w:lang w:val="en-US" w:bidi="en-US"/>
        </w:rPr>
        <w:t>5</w:t>
      </w:r>
      <w:r>
        <w:rPr>
          <w:rFonts w:hint="eastAsia" w:ascii="方正仿宋_GBK" w:hAnsi="方正仿宋_GBK" w:eastAsia="方正仿宋_GBK" w:cs="方正仿宋_GBK"/>
          <w:kern w:val="0"/>
          <w:lang w:val="en-US" w:bidi="en-US"/>
        </w:rPr>
        <w:t xml:space="preserve">分。   </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（2）预算执行率：预算编制较为详细，项目资金支出</w:t>
      </w:r>
      <w:r>
        <w:rPr>
          <w:rFonts w:ascii="方正仿宋_GBK" w:hAnsi="方正仿宋_GBK" w:eastAsia="方正仿宋_GBK" w:cs="方正仿宋_GBK"/>
          <w:kern w:val="0"/>
          <w:lang w:val="en-US" w:bidi="en-US"/>
        </w:rPr>
        <w:t>2000</w:t>
      </w:r>
      <w:r>
        <w:rPr>
          <w:rFonts w:hint="eastAsia" w:ascii="方正仿宋_GBK" w:hAnsi="方正仿宋_GBK" w:eastAsia="方正仿宋_GBK" w:cs="方正仿宋_GBK"/>
          <w:kern w:val="0"/>
          <w:lang w:val="en-US" w:bidi="en-US"/>
        </w:rPr>
        <w:t>万元，预算执行率为</w:t>
      </w:r>
      <w:r>
        <w:rPr>
          <w:rFonts w:ascii="方正仿宋_GBK" w:hAnsi="方正仿宋_GBK" w:eastAsia="方正仿宋_GBK" w:cs="方正仿宋_GBK"/>
          <w:kern w:val="0"/>
          <w:lang w:val="en-US" w:bidi="en-US"/>
        </w:rPr>
        <w:t>2000</w:t>
      </w:r>
      <w:r>
        <w:rPr>
          <w:rFonts w:hint="eastAsia" w:ascii="方正仿宋_GBK" w:hAnsi="方正仿宋_GBK" w:eastAsia="方正仿宋_GBK" w:cs="方正仿宋_GBK"/>
          <w:kern w:val="0"/>
          <w:lang w:val="en-US" w:bidi="en-US"/>
        </w:rPr>
        <w:t>%。资金支出按照预算执行，根据评分标准，该指标不扣分，得</w:t>
      </w:r>
      <w:r>
        <w:rPr>
          <w:rFonts w:ascii="方正仿宋_GBK" w:hAnsi="方正仿宋_GBK" w:eastAsia="方正仿宋_GBK" w:cs="方正仿宋_GBK"/>
          <w:kern w:val="0"/>
          <w:lang w:val="en-US" w:bidi="en-US"/>
        </w:rPr>
        <w:t>5</w:t>
      </w:r>
      <w:r>
        <w:rPr>
          <w:rFonts w:hint="eastAsia" w:ascii="方正仿宋_GBK" w:hAnsi="方正仿宋_GBK" w:eastAsia="方正仿宋_GBK" w:cs="方正仿宋_GBK"/>
          <w:kern w:val="0"/>
          <w:lang w:val="en-US" w:bidi="en-US"/>
        </w:rPr>
        <w:t>分。</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（3）资金使用合规性：制定了相关的制度和管理规定对经费使用进行规范管理，财务制度健全、执行严格，根据评分标准，该指标不扣分，得</w:t>
      </w:r>
      <w:r>
        <w:rPr>
          <w:rFonts w:ascii="方正仿宋_GBK" w:hAnsi="方正仿宋_GBK" w:eastAsia="方正仿宋_GBK" w:cs="方正仿宋_GBK"/>
          <w:kern w:val="0"/>
          <w:lang w:val="en-US" w:bidi="en-US"/>
        </w:rPr>
        <w:t>5</w:t>
      </w:r>
      <w:r>
        <w:rPr>
          <w:rFonts w:hint="eastAsia" w:ascii="方正仿宋_GBK" w:hAnsi="方正仿宋_GBK" w:eastAsia="方正仿宋_GBK" w:cs="方正仿宋_GBK"/>
          <w:kern w:val="0"/>
          <w:lang w:val="en-US" w:bidi="en-US"/>
        </w:rPr>
        <w:t>分。</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（4）管理制度健全性：制定了相关管理办法，对财政专项资金进行严格管理，基本做到了专款专用，根据评分标准，该指标不扣分，得</w:t>
      </w:r>
      <w:r>
        <w:rPr>
          <w:rFonts w:ascii="方正仿宋_GBK" w:hAnsi="方正仿宋_GBK" w:eastAsia="方正仿宋_GBK" w:cs="方正仿宋_GBK"/>
          <w:kern w:val="0"/>
          <w:lang w:val="en-US" w:bidi="en-US"/>
        </w:rPr>
        <w:t>2</w:t>
      </w:r>
      <w:r>
        <w:rPr>
          <w:rFonts w:hint="eastAsia" w:ascii="方正仿宋_GBK" w:hAnsi="方正仿宋_GBK" w:eastAsia="方正仿宋_GBK" w:cs="方正仿宋_GBK"/>
          <w:kern w:val="0"/>
          <w:lang w:val="en-US" w:bidi="en-US"/>
        </w:rPr>
        <w:t>分。</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5）制度执行有效性：由部门提出经费预算支出可行性方案，经过与县政府分管领导沟通后，报党支部会议研究执行，财务对资金的使用合法合规性进行监督，年底对资金使用效果进行自评，根据评分标准，该指标不扣分，得</w:t>
      </w:r>
      <w:r>
        <w:rPr>
          <w:rFonts w:ascii="方正仿宋_GBK" w:hAnsi="方正仿宋_GBK" w:eastAsia="方正仿宋_GBK" w:cs="方正仿宋_GBK"/>
          <w:kern w:val="0"/>
          <w:lang w:val="en-US" w:bidi="en-US"/>
        </w:rPr>
        <w:t>3</w:t>
      </w:r>
      <w:r>
        <w:rPr>
          <w:rFonts w:hint="eastAsia" w:ascii="方正仿宋_GBK" w:hAnsi="方正仿宋_GBK" w:eastAsia="方正仿宋_GBK" w:cs="方正仿宋_GBK"/>
          <w:kern w:val="0"/>
          <w:lang w:val="en-US" w:bidi="en-US"/>
        </w:rPr>
        <w:t>分。</w:t>
      </w:r>
    </w:p>
    <w:p>
      <w:pPr>
        <w:pStyle w:val="3"/>
        <w:spacing w:before="0" w:after="0"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（三）项目产出情况</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项目产出类指标包括产出数量、产出质量、产出时效、产出成本四方面的内容，由4个三级指标构成，权重分为40分，实际得分</w:t>
      </w:r>
      <w:r>
        <w:rPr>
          <w:rFonts w:ascii="方正仿宋_GBK" w:hAnsi="方正仿宋_GBK" w:eastAsia="方正仿宋_GBK" w:cs="方正仿宋_GBK"/>
          <w:kern w:val="0"/>
          <w:lang w:val="en-US" w:bidi="en-US"/>
        </w:rPr>
        <w:t>38</w:t>
      </w:r>
      <w:r>
        <w:rPr>
          <w:rFonts w:hint="eastAsia" w:ascii="方正仿宋_GBK" w:hAnsi="方正仿宋_GBK" w:eastAsia="方正仿宋_GBK" w:cs="方正仿宋_GBK"/>
          <w:kern w:val="0"/>
          <w:lang w:val="en-US" w:bidi="en-US"/>
        </w:rPr>
        <w:t>分，得分率为</w:t>
      </w:r>
      <w:r>
        <w:rPr>
          <w:rFonts w:ascii="方正仿宋_GBK" w:hAnsi="方正仿宋_GBK" w:eastAsia="方正仿宋_GBK" w:cs="方正仿宋_GBK"/>
          <w:kern w:val="0"/>
          <w:lang w:val="en-US" w:bidi="en-US"/>
        </w:rPr>
        <w:t>95</w:t>
      </w:r>
      <w:r>
        <w:rPr>
          <w:rFonts w:hint="eastAsia" w:ascii="方正仿宋_GBK" w:hAnsi="方正仿宋_GBK" w:eastAsia="方正仿宋_GBK" w:cs="方正仿宋_GBK"/>
          <w:kern w:val="0"/>
          <w:lang w:val="en-US" w:bidi="en-US"/>
        </w:rPr>
        <w:t>%。</w:t>
      </w:r>
    </w:p>
    <w:tbl>
      <w:tblPr>
        <w:tblStyle w:val="14"/>
        <w:tblW w:w="0" w:type="auto"/>
        <w:tblInd w:w="0" w:type="dxa"/>
        <w:tblLayout w:type="fixed"/>
        <w:tblCellMar>
          <w:top w:w="0" w:type="dxa"/>
          <w:left w:w="108" w:type="dxa"/>
          <w:bottom w:w="0" w:type="dxa"/>
          <w:right w:w="108" w:type="dxa"/>
        </w:tblCellMar>
      </w:tblPr>
      <w:tblGrid>
        <w:gridCol w:w="3024"/>
        <w:gridCol w:w="1682"/>
        <w:gridCol w:w="2131"/>
        <w:gridCol w:w="1682"/>
      </w:tblGrid>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rPr>
              <w:t>三级指标</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权重</w:t>
            </w:r>
          </w:p>
        </w:tc>
        <w:tc>
          <w:tcPr>
            <w:tcW w:w="213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得分率</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实际得分</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产出数量</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w:t>
            </w:r>
          </w:p>
        </w:tc>
        <w:tc>
          <w:tcPr>
            <w:tcW w:w="213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产出质量</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w:t>
            </w:r>
          </w:p>
        </w:tc>
        <w:tc>
          <w:tcPr>
            <w:tcW w:w="213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产出时效</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w:t>
            </w:r>
          </w:p>
        </w:tc>
        <w:tc>
          <w:tcPr>
            <w:tcW w:w="213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8</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成本情况</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w:t>
            </w:r>
          </w:p>
        </w:tc>
        <w:tc>
          <w:tcPr>
            <w:tcW w:w="213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w:t>
            </w:r>
          </w:p>
        </w:tc>
      </w:tr>
      <w:tr>
        <w:tblPrEx>
          <w:tblCellMar>
            <w:top w:w="0" w:type="dxa"/>
            <w:left w:w="108" w:type="dxa"/>
            <w:bottom w:w="0" w:type="dxa"/>
            <w:right w:w="108" w:type="dxa"/>
          </w:tblCellMar>
        </w:tblPrEx>
        <w:trPr>
          <w:trHeight w:val="283" w:hRule="atLeast"/>
        </w:trPr>
        <w:tc>
          <w:tcPr>
            <w:tcW w:w="302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hint="eastAsia" w:ascii="Times New Roman" w:hAnsi="方正仿宋_GBK" w:eastAsia="方正仿宋_GBK" w:cs="方正仿宋_GBK"/>
                <w:lang w:bidi="ar"/>
              </w:rPr>
              <w:t>合计</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40</w:t>
            </w:r>
          </w:p>
        </w:tc>
        <w:tc>
          <w:tcPr>
            <w:tcW w:w="213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100%</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560" w:lineRule="exact"/>
              <w:ind w:firstLine="0" w:firstLineChars="0"/>
              <w:jc w:val="center"/>
              <w:rPr>
                <w:rFonts w:eastAsia="方正仿宋_GBK" w:cs="方正仿宋_GBK"/>
              </w:rPr>
            </w:pPr>
            <w:r>
              <w:rPr>
                <w:rFonts w:ascii="Times New Roman" w:hAnsi="Times New Roman" w:eastAsia="方正仿宋_GBK" w:cs="方正仿宋_GBK"/>
                <w:lang w:bidi="ar"/>
              </w:rPr>
              <w:t>38</w:t>
            </w:r>
          </w:p>
        </w:tc>
      </w:tr>
    </w:tbl>
    <w:p>
      <w:pPr>
        <w:pStyle w:val="3"/>
        <w:spacing w:before="0" w:after="0" w:line="560" w:lineRule="exact"/>
        <w:ind w:firstLine="64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1.对于“产出数量”</w:t>
      </w:r>
    </w:p>
    <w:p>
      <w:pPr>
        <w:pStyle w:val="7"/>
        <w:spacing w:line="540" w:lineRule="exact"/>
        <w:ind w:firstLine="640"/>
        <w:rPr>
          <w:rFonts w:ascii="方正仿宋_GBK" w:hAnsi="方正仿宋_GBK" w:eastAsia="方正仿宋_GBK" w:cs="方正仿宋_GBK"/>
          <w:kern w:val="0"/>
          <w:lang w:val="en-US" w:bidi="en-US"/>
        </w:rPr>
      </w:pPr>
      <w:bookmarkStart w:id="83" w:name="_Hlk126163291"/>
      <w:r>
        <w:rPr>
          <w:rFonts w:hint="eastAsia" w:ascii="方正仿宋_GBK" w:hAnsi="方正仿宋_GBK" w:eastAsia="方正仿宋_GBK" w:cs="方正仿宋_GBK"/>
          <w:kern w:val="0"/>
          <w:lang w:val="en-US" w:bidi="en-US"/>
        </w:rPr>
        <w:t>喀什地区莎车县艾牙河达木斯乡1村、8村和霍什拉甫乡11村、12村中小河流治理工程</w:t>
      </w:r>
      <w:bookmarkEnd w:id="83"/>
      <w:r>
        <w:rPr>
          <w:rFonts w:hint="eastAsia" w:ascii="方正仿宋_GBK" w:hAnsi="方正仿宋_GBK" w:eastAsia="方正仿宋_GBK" w:cs="方正仿宋_GBK"/>
          <w:kern w:val="0"/>
          <w:lang w:val="en-US" w:bidi="en-US"/>
        </w:rPr>
        <w:t>，预期目标是新建防洪堤9公里，实际完成新建防洪堤9公里，与预期目标一致。根据评分标准，得</w:t>
      </w:r>
      <w:r>
        <w:rPr>
          <w:rFonts w:ascii="方正仿宋_GBK" w:hAnsi="方正仿宋_GBK" w:eastAsia="方正仿宋_GBK" w:cs="方正仿宋_GBK"/>
          <w:kern w:val="0"/>
          <w:lang w:val="en-US" w:bidi="en-US"/>
        </w:rPr>
        <w:t>10</w:t>
      </w:r>
      <w:r>
        <w:rPr>
          <w:rFonts w:hint="eastAsia" w:ascii="方正仿宋_GBK" w:hAnsi="方正仿宋_GBK" w:eastAsia="方正仿宋_GBK" w:cs="方正仿宋_GBK"/>
          <w:kern w:val="0"/>
          <w:lang w:val="en-US" w:bidi="en-US"/>
        </w:rPr>
        <w:t>分。</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逐项罗列数量指标，并将得分分布在每一条指标上</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合计得</w:t>
      </w:r>
      <w:r>
        <w:rPr>
          <w:rFonts w:ascii="方正仿宋_GBK" w:hAnsi="方正仿宋_GBK" w:eastAsia="方正仿宋_GBK" w:cs="方正仿宋_GBK"/>
          <w:kern w:val="0"/>
          <w:lang w:val="en-US" w:bidi="en-US"/>
        </w:rPr>
        <w:t>10</w:t>
      </w:r>
      <w:r>
        <w:rPr>
          <w:rFonts w:hint="eastAsia" w:ascii="方正仿宋_GBK" w:hAnsi="方正仿宋_GBK" w:eastAsia="方正仿宋_GBK" w:cs="方正仿宋_GBK"/>
          <w:kern w:val="0"/>
          <w:lang w:val="en-US" w:bidi="en-US"/>
        </w:rPr>
        <w:t>分。</w:t>
      </w:r>
    </w:p>
    <w:p>
      <w:pPr>
        <w:pStyle w:val="3"/>
        <w:spacing w:before="0" w:after="0" w:line="560" w:lineRule="exact"/>
        <w:ind w:firstLine="64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2.对于“产出质量”</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喀什地区莎车县艾牙河达木斯乡1村、8村和霍什拉甫乡11村、12村中小河流治理工程，预期目标是项目（工程）验收合格率（100%），实际完成项目（工程）验收合格率（100%），与预期目标一致。根据评分标准，得</w:t>
      </w:r>
      <w:r>
        <w:rPr>
          <w:rFonts w:ascii="方正仿宋_GBK" w:hAnsi="方正仿宋_GBK" w:eastAsia="方正仿宋_GBK" w:cs="方正仿宋_GBK"/>
          <w:kern w:val="0"/>
          <w:lang w:val="en-US" w:bidi="en-US"/>
        </w:rPr>
        <w:t>10</w:t>
      </w:r>
      <w:r>
        <w:rPr>
          <w:rFonts w:hint="eastAsia" w:ascii="方正仿宋_GBK" w:hAnsi="方正仿宋_GBK" w:eastAsia="方正仿宋_GBK" w:cs="方正仿宋_GBK"/>
          <w:kern w:val="0"/>
          <w:lang w:val="en-US" w:bidi="en-US"/>
        </w:rPr>
        <w:t>分。</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逐项罗列质量指标，并将得分分布在每一条指标上</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合计得</w:t>
      </w:r>
      <w:r>
        <w:rPr>
          <w:rFonts w:ascii="方正仿宋_GBK" w:hAnsi="方正仿宋_GBK" w:eastAsia="方正仿宋_GBK" w:cs="方正仿宋_GBK"/>
          <w:kern w:val="0"/>
          <w:lang w:val="en-US" w:bidi="en-US"/>
        </w:rPr>
        <w:t>10</w:t>
      </w:r>
      <w:r>
        <w:rPr>
          <w:rFonts w:hint="eastAsia" w:ascii="方正仿宋_GBK" w:hAnsi="方正仿宋_GBK" w:eastAsia="方正仿宋_GBK" w:cs="方正仿宋_GBK"/>
          <w:kern w:val="0"/>
          <w:lang w:val="en-US" w:bidi="en-US"/>
        </w:rPr>
        <w:t>分。</w:t>
      </w:r>
    </w:p>
    <w:p>
      <w:pPr>
        <w:pStyle w:val="3"/>
        <w:spacing w:before="0" w:after="0" w:line="560" w:lineRule="exact"/>
        <w:ind w:firstLine="64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3.对于“产出时效”</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喀什地区莎车县艾牙河达木斯乡1村、8村和霍什拉甫乡11村、12村中小河流治理工程，预期目标是</w:t>
      </w:r>
      <w:bookmarkStart w:id="84" w:name="_Hlk126164056"/>
      <w:r>
        <w:rPr>
          <w:rFonts w:hint="eastAsia" w:ascii="方正仿宋_GBK" w:hAnsi="方正仿宋_GBK" w:eastAsia="方正仿宋_GBK" w:cs="方正仿宋_GBK"/>
          <w:kern w:val="0"/>
          <w:lang w:val="en-US" w:bidi="en-US"/>
        </w:rPr>
        <w:t>资金支付及时率（%）1</w:t>
      </w:r>
      <w:r>
        <w:rPr>
          <w:rFonts w:ascii="方正仿宋_GBK" w:hAnsi="方正仿宋_GBK" w:eastAsia="方正仿宋_GBK" w:cs="方正仿宋_GBK"/>
          <w:kern w:val="0"/>
          <w:lang w:val="en-US" w:bidi="en-US"/>
        </w:rPr>
        <w:t>00%</w:t>
      </w:r>
      <w:r>
        <w:rPr>
          <w:rFonts w:hint="eastAsia" w:ascii="方正仿宋_GBK" w:hAnsi="方正仿宋_GBK" w:eastAsia="方正仿宋_GBK" w:cs="方正仿宋_GBK"/>
          <w:kern w:val="0"/>
          <w:lang w:val="en-US" w:bidi="en-US"/>
        </w:rPr>
        <w:t>，项目开工时间2022年1月，项目完工时间2022年1</w:t>
      </w:r>
      <w:r>
        <w:rPr>
          <w:rFonts w:ascii="方正仿宋_GBK" w:hAnsi="方正仿宋_GBK" w:eastAsia="方正仿宋_GBK" w:cs="方正仿宋_GBK"/>
          <w:kern w:val="0"/>
          <w:lang w:val="en-US" w:bidi="en-US"/>
        </w:rPr>
        <w:t>2</w:t>
      </w:r>
      <w:r>
        <w:rPr>
          <w:rFonts w:hint="eastAsia" w:ascii="方正仿宋_GBK" w:hAnsi="方正仿宋_GBK" w:eastAsia="方正仿宋_GBK" w:cs="方正仿宋_GBK"/>
          <w:kern w:val="0"/>
          <w:lang w:val="en-US" w:bidi="en-US"/>
        </w:rPr>
        <w:t>月</w:t>
      </w:r>
      <w:bookmarkEnd w:id="84"/>
      <w:r>
        <w:rPr>
          <w:rFonts w:hint="eastAsia" w:ascii="方正仿宋_GBK" w:hAnsi="方正仿宋_GBK" w:eastAsia="方正仿宋_GBK" w:cs="方正仿宋_GBK"/>
          <w:kern w:val="0"/>
          <w:lang w:val="en-US" w:bidi="en-US"/>
        </w:rPr>
        <w:t>，实际完成资金支付及时率（%）100%，项目开工时间2022年1月，项目完工时间2022年12月，与预期目标一致。根据评分标准，得</w:t>
      </w:r>
      <w:r>
        <w:rPr>
          <w:rFonts w:ascii="方正仿宋_GBK" w:hAnsi="方正仿宋_GBK" w:eastAsia="方正仿宋_GBK" w:cs="方正仿宋_GBK"/>
          <w:kern w:val="0"/>
          <w:lang w:val="en-US" w:bidi="en-US"/>
        </w:rPr>
        <w:t>8</w:t>
      </w:r>
      <w:r>
        <w:rPr>
          <w:rFonts w:hint="eastAsia" w:ascii="方正仿宋_GBK" w:hAnsi="方正仿宋_GBK" w:eastAsia="方正仿宋_GBK" w:cs="方正仿宋_GBK"/>
          <w:kern w:val="0"/>
          <w:lang w:val="en-US" w:bidi="en-US"/>
        </w:rPr>
        <w:t>分。</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逐项罗列时效指标，并将得分分布在每一条指标上</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合计得</w:t>
      </w:r>
      <w:r>
        <w:rPr>
          <w:rFonts w:ascii="方正仿宋_GBK" w:hAnsi="方正仿宋_GBK" w:eastAsia="方正仿宋_GBK" w:cs="方正仿宋_GBK"/>
          <w:kern w:val="0"/>
          <w:lang w:val="en-US" w:bidi="en-US"/>
        </w:rPr>
        <w:t>8</w:t>
      </w:r>
      <w:r>
        <w:rPr>
          <w:rFonts w:hint="eastAsia" w:ascii="方正仿宋_GBK" w:hAnsi="方正仿宋_GBK" w:eastAsia="方正仿宋_GBK" w:cs="方正仿宋_GBK"/>
          <w:kern w:val="0"/>
          <w:lang w:val="en-US" w:bidi="en-US"/>
        </w:rPr>
        <w:t>分。</w:t>
      </w:r>
    </w:p>
    <w:p>
      <w:pPr>
        <w:pStyle w:val="3"/>
        <w:spacing w:before="0" w:after="0" w:line="560" w:lineRule="exact"/>
        <w:ind w:firstLine="64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4.对于“产出成本”</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喀什地区莎车县艾牙河达木斯乡1村、8村和霍什拉甫乡11村、12村中小河流治理工程，预期目标是防洪堤建设平均成本&lt;=442.15万元/公里，实际完成防洪堤建设平均成本442万元/公里，与预期目标一致。根据评分标准，得</w:t>
      </w:r>
      <w:r>
        <w:rPr>
          <w:rFonts w:ascii="方正仿宋_GBK" w:hAnsi="方正仿宋_GBK" w:eastAsia="方正仿宋_GBK" w:cs="方正仿宋_GBK"/>
          <w:kern w:val="0"/>
          <w:lang w:val="en-US" w:bidi="en-US"/>
        </w:rPr>
        <w:t>10</w:t>
      </w:r>
      <w:r>
        <w:rPr>
          <w:rFonts w:hint="eastAsia" w:ascii="方正仿宋_GBK" w:hAnsi="方正仿宋_GBK" w:eastAsia="方正仿宋_GBK" w:cs="方正仿宋_GBK"/>
          <w:kern w:val="0"/>
          <w:lang w:val="en-US" w:bidi="en-US"/>
        </w:rPr>
        <w:t>分。</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逐项罗列成本指标，并将得分分布在每一条指标上</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合计得</w:t>
      </w:r>
      <w:r>
        <w:rPr>
          <w:rFonts w:ascii="方正仿宋_GBK" w:hAnsi="方正仿宋_GBK" w:eastAsia="方正仿宋_GBK" w:cs="方正仿宋_GBK"/>
          <w:kern w:val="0"/>
          <w:lang w:val="en-US" w:bidi="en-US"/>
        </w:rPr>
        <w:t>10</w:t>
      </w:r>
      <w:r>
        <w:rPr>
          <w:rFonts w:hint="eastAsia" w:ascii="方正仿宋_GBK" w:hAnsi="方正仿宋_GBK" w:eastAsia="方正仿宋_GBK" w:cs="方正仿宋_GBK"/>
          <w:kern w:val="0"/>
          <w:lang w:val="en-US" w:bidi="en-US"/>
        </w:rPr>
        <w:t>分。</w:t>
      </w:r>
    </w:p>
    <w:p>
      <w:pPr>
        <w:pStyle w:val="3"/>
        <w:spacing w:before="0" w:after="0"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（四）项目效益情况</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项目效益类指标包括项目效益及满意度两个方面的内容，由2个三级指标构成，权重分为20分，实际得分</w:t>
      </w:r>
      <w:r>
        <w:rPr>
          <w:rFonts w:ascii="方正仿宋_GBK" w:hAnsi="方正仿宋_GBK" w:eastAsia="方正仿宋_GBK" w:cs="方正仿宋_GBK"/>
          <w:kern w:val="0"/>
          <w:lang w:val="en-US" w:bidi="en-US"/>
        </w:rPr>
        <w:t>16</w:t>
      </w:r>
      <w:r>
        <w:rPr>
          <w:rFonts w:hint="eastAsia" w:ascii="方正仿宋_GBK" w:hAnsi="方正仿宋_GBK" w:eastAsia="方正仿宋_GBK" w:cs="方正仿宋_GBK"/>
          <w:kern w:val="0"/>
          <w:lang w:val="en-US" w:bidi="en-US"/>
        </w:rPr>
        <w:t>分，得分率为</w:t>
      </w:r>
      <w:r>
        <w:rPr>
          <w:rFonts w:ascii="方正仿宋_GBK" w:hAnsi="方正仿宋_GBK" w:eastAsia="方正仿宋_GBK" w:cs="方正仿宋_GBK"/>
          <w:kern w:val="0"/>
          <w:lang w:val="en-US" w:bidi="en-US"/>
        </w:rPr>
        <w:t>80</w:t>
      </w:r>
      <w:r>
        <w:rPr>
          <w:rFonts w:hint="eastAsia" w:ascii="方正仿宋_GBK" w:hAnsi="方正仿宋_GBK" w:eastAsia="方正仿宋_GBK" w:cs="方正仿宋_GBK"/>
          <w:kern w:val="0"/>
          <w:lang w:val="en-US" w:bidi="en-US"/>
        </w:rPr>
        <w:t>%。</w:t>
      </w:r>
    </w:p>
    <w:tbl>
      <w:tblPr>
        <w:tblStyle w:val="14"/>
        <w:tblW w:w="0" w:type="auto"/>
        <w:tblInd w:w="0" w:type="dxa"/>
        <w:tblLayout w:type="fixed"/>
        <w:tblCellMar>
          <w:top w:w="0" w:type="dxa"/>
          <w:left w:w="0" w:type="dxa"/>
          <w:bottom w:w="0" w:type="dxa"/>
          <w:right w:w="0" w:type="dxa"/>
        </w:tblCellMar>
      </w:tblPr>
      <w:tblGrid>
        <w:gridCol w:w="2417"/>
        <w:gridCol w:w="1761"/>
        <w:gridCol w:w="1784"/>
        <w:gridCol w:w="2365"/>
      </w:tblGrid>
      <w:tr>
        <w:tblPrEx>
          <w:tblCellMar>
            <w:top w:w="0" w:type="dxa"/>
            <w:left w:w="0" w:type="dxa"/>
            <w:bottom w:w="0" w:type="dxa"/>
            <w:right w:w="0" w:type="dxa"/>
          </w:tblCellMar>
        </w:tblPrEx>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eastAsia="方正仿宋_GBK" w:cs="方正仿宋_GBK"/>
              </w:rPr>
            </w:pPr>
            <w:r>
              <w:rPr>
                <w:rFonts w:hint="eastAsia" w:ascii="Times New Roman" w:hAnsi="方正仿宋_GBK" w:eastAsia="方正仿宋_GBK" w:cs="方正仿宋_GBK"/>
              </w:rPr>
              <w:t>三级指标</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eastAsia="方正仿宋_GBK" w:cs="方正仿宋_GBK"/>
              </w:rPr>
            </w:pPr>
            <w:r>
              <w:rPr>
                <w:rFonts w:hint="eastAsia" w:ascii="Times New Roman" w:hAnsi="方正仿宋_GBK" w:eastAsia="方正仿宋_GBK" w:cs="方正仿宋_GBK"/>
                <w:lang w:bidi="ar"/>
              </w:rPr>
              <w:t>权重</w:t>
            </w:r>
          </w:p>
        </w:tc>
        <w:tc>
          <w:tcPr>
            <w:tcW w:w="178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eastAsia="方正仿宋_GBK" w:cs="方正仿宋_GBK"/>
              </w:rPr>
            </w:pPr>
            <w:r>
              <w:rPr>
                <w:rFonts w:hint="eastAsia" w:ascii="Times New Roman" w:hAnsi="方正仿宋_GBK" w:eastAsia="方正仿宋_GBK" w:cs="方正仿宋_GBK"/>
                <w:lang w:bidi="ar"/>
              </w:rPr>
              <w:t>得分率</w:t>
            </w:r>
          </w:p>
        </w:tc>
        <w:tc>
          <w:tcPr>
            <w:tcW w:w="236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eastAsia="方正仿宋_GBK" w:cs="方正仿宋_GBK"/>
              </w:rPr>
            </w:pPr>
            <w:r>
              <w:rPr>
                <w:rFonts w:hint="eastAsia" w:ascii="Times New Roman" w:hAnsi="方正仿宋_GBK" w:eastAsia="方正仿宋_GBK" w:cs="方正仿宋_GBK"/>
                <w:lang w:bidi="ar"/>
              </w:rPr>
              <w:t>实际得分</w:t>
            </w:r>
          </w:p>
        </w:tc>
      </w:tr>
      <w:tr>
        <w:tblPrEx>
          <w:tblCellMar>
            <w:top w:w="0" w:type="dxa"/>
            <w:left w:w="0" w:type="dxa"/>
            <w:bottom w:w="0" w:type="dxa"/>
            <w:right w:w="0" w:type="dxa"/>
          </w:tblCellMar>
        </w:tblPrEx>
        <w:trPr>
          <w:trHeight w:val="560" w:hRule="atLeast"/>
        </w:trPr>
        <w:tc>
          <w:tcPr>
            <w:tcW w:w="2417" w:type="dxa"/>
            <w:vMerge w:val="restart"/>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eastAsia="方正仿宋_GBK" w:cs="方正仿宋_GBK"/>
              </w:rPr>
            </w:pPr>
            <w:r>
              <w:rPr>
                <w:rFonts w:hint="eastAsia" w:ascii="Times New Roman" w:hAnsi="方正仿宋_GBK" w:eastAsia="方正仿宋_GBK" w:cs="方正仿宋_GBK"/>
                <w:lang w:bidi="ar"/>
              </w:rPr>
              <w:t>实施效益</w:t>
            </w:r>
          </w:p>
        </w:tc>
        <w:tc>
          <w:tcPr>
            <w:tcW w:w="176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eastAsia="方正仿宋_GBK" w:cs="方正仿宋_GBK"/>
              </w:rPr>
            </w:pPr>
            <w:r>
              <w:rPr>
                <w:rFonts w:ascii="Times New Roman" w:hAnsi="Times New Roman" w:eastAsia="方正仿宋_GBK" w:cs="方正仿宋_GBK"/>
                <w:lang w:bidi="ar"/>
              </w:rPr>
              <w:t>10</w:t>
            </w:r>
          </w:p>
        </w:tc>
        <w:tc>
          <w:tcPr>
            <w:tcW w:w="1784" w:type="dxa"/>
            <w:vMerge w:val="restart"/>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eastAsia="方正仿宋_GBK" w:cs="方正仿宋_GBK"/>
              </w:rPr>
            </w:pPr>
            <w:r>
              <w:rPr>
                <w:rFonts w:ascii="Times New Roman" w:hAnsi="Times New Roman" w:eastAsia="方正仿宋_GBK" w:cs="方正仿宋_GBK"/>
                <w:lang w:bidi="ar"/>
              </w:rPr>
              <w:t>100%</w:t>
            </w:r>
          </w:p>
        </w:tc>
        <w:tc>
          <w:tcPr>
            <w:tcW w:w="236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eastAsia="方正仿宋_GBK" w:cs="方正仿宋_GBK"/>
              </w:rPr>
            </w:pPr>
            <w:r>
              <w:rPr>
                <w:rFonts w:ascii="Times New Roman" w:hAnsi="Times New Roman" w:eastAsia="方正仿宋_GBK" w:cs="方正仿宋_GBK"/>
                <w:lang w:bidi="ar"/>
              </w:rPr>
              <w:t>8</w:t>
            </w:r>
          </w:p>
        </w:tc>
      </w:tr>
      <w:tr>
        <w:tblPrEx>
          <w:tblCellMar>
            <w:top w:w="0" w:type="dxa"/>
            <w:left w:w="0" w:type="dxa"/>
            <w:bottom w:w="0" w:type="dxa"/>
            <w:right w:w="0" w:type="dxa"/>
          </w:tblCellMar>
        </w:tblPrEx>
        <w:trPr>
          <w:trHeight w:val="624" w:hRule="atLeast"/>
        </w:trPr>
        <w:tc>
          <w:tcPr>
            <w:tcW w:w="2417"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ind w:firstLine="400"/>
              <w:rPr>
                <w:rFonts w:ascii="Times New Roman" w:hAnsi="Times New Roman" w:eastAsia="Times New Roman" w:cs="Times New Roman"/>
                <w:sz w:val="20"/>
                <w:szCs w:val="20"/>
              </w:rPr>
            </w:pPr>
          </w:p>
        </w:tc>
        <w:tc>
          <w:tcPr>
            <w:tcW w:w="176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ind w:firstLine="400"/>
              <w:rPr>
                <w:rFonts w:ascii="Times New Roman" w:hAnsi="Times New Roman" w:eastAsia="Times New Roman" w:cs="Times New Roman"/>
                <w:sz w:val="20"/>
                <w:szCs w:val="20"/>
              </w:rPr>
            </w:pPr>
          </w:p>
        </w:tc>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ind w:firstLine="400"/>
              <w:rPr>
                <w:rFonts w:ascii="Times New Roman" w:hAnsi="Times New Roman" w:eastAsia="Times New Roman" w:cs="Times New Roman"/>
                <w:sz w:val="20"/>
                <w:szCs w:val="20"/>
              </w:rPr>
            </w:pPr>
          </w:p>
        </w:tc>
        <w:tc>
          <w:tcPr>
            <w:tcW w:w="23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ind w:firstLine="400"/>
              <w:rPr>
                <w:rFonts w:ascii="Times New Roman" w:hAnsi="Times New Roman" w:eastAsia="Times New Roman" w:cs="Times New Roman"/>
                <w:sz w:val="20"/>
                <w:szCs w:val="20"/>
              </w:rPr>
            </w:pPr>
          </w:p>
        </w:tc>
      </w:tr>
      <w:tr>
        <w:tblPrEx>
          <w:tblCellMar>
            <w:top w:w="0" w:type="dxa"/>
            <w:left w:w="0" w:type="dxa"/>
            <w:bottom w:w="0" w:type="dxa"/>
            <w:right w:w="0" w:type="dxa"/>
          </w:tblCellMar>
        </w:tblPrEx>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eastAsia="方正仿宋_GBK" w:cs="方正仿宋_GBK"/>
              </w:rPr>
            </w:pPr>
            <w:r>
              <w:rPr>
                <w:rFonts w:hint="eastAsia" w:ascii="Times New Roman" w:hAnsi="方正仿宋_GBK" w:eastAsia="方正仿宋_GBK" w:cs="方正仿宋_GBK"/>
                <w:lang w:bidi="ar"/>
              </w:rPr>
              <w:t>满意度</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eastAsia="方正仿宋_GBK" w:cs="方正仿宋_GBK"/>
              </w:rPr>
            </w:pPr>
            <w:r>
              <w:rPr>
                <w:rFonts w:ascii="Times New Roman" w:hAnsi="Times New Roman" w:eastAsia="方正仿宋_GBK" w:cs="方正仿宋_GBK"/>
                <w:lang w:bidi="ar"/>
              </w:rPr>
              <w:t>10</w:t>
            </w:r>
          </w:p>
        </w:tc>
        <w:tc>
          <w:tcPr>
            <w:tcW w:w="1784"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eastAsia="方正仿宋_GBK" w:cs="方正仿宋_GBK"/>
              </w:rPr>
            </w:pPr>
            <w:r>
              <w:rPr>
                <w:rFonts w:ascii="Times New Roman" w:hAnsi="Times New Roman" w:eastAsia="方正仿宋_GBK" w:cs="方正仿宋_GBK"/>
                <w:lang w:bidi="ar"/>
              </w:rPr>
              <w:t>100%</w:t>
            </w:r>
          </w:p>
        </w:tc>
        <w:tc>
          <w:tcPr>
            <w:tcW w:w="236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eastAsia="方正仿宋_GBK" w:cs="方正仿宋_GBK"/>
              </w:rPr>
            </w:pPr>
            <w:r>
              <w:rPr>
                <w:rFonts w:ascii="Times New Roman" w:hAnsi="Times New Roman" w:eastAsia="方正仿宋_GBK" w:cs="方正仿宋_GBK"/>
                <w:lang w:bidi="ar"/>
              </w:rPr>
              <w:t>8</w:t>
            </w:r>
          </w:p>
        </w:tc>
      </w:tr>
      <w:tr>
        <w:tblPrEx>
          <w:tblCellMar>
            <w:top w:w="0" w:type="dxa"/>
            <w:left w:w="0" w:type="dxa"/>
            <w:bottom w:w="0" w:type="dxa"/>
            <w:right w:w="0" w:type="dxa"/>
          </w:tblCellMar>
        </w:tblPrEx>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eastAsia="方正仿宋_GBK" w:cs="方正仿宋_GBK"/>
              </w:rPr>
            </w:pPr>
            <w:r>
              <w:rPr>
                <w:rFonts w:hint="eastAsia" w:ascii="Times New Roman" w:hAnsi="方正仿宋_GBK" w:eastAsia="方正仿宋_GBK" w:cs="方正仿宋_GBK"/>
                <w:lang w:bidi="ar"/>
              </w:rPr>
              <w:t>合计</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eastAsia="方正仿宋_GBK" w:cs="方正仿宋_GBK"/>
              </w:rPr>
            </w:pPr>
            <w:r>
              <w:rPr>
                <w:rFonts w:ascii="Times New Roman" w:hAnsi="Times New Roman" w:eastAsia="方正仿宋_GBK" w:cs="方正仿宋_GBK"/>
                <w:lang w:bidi="ar"/>
              </w:rPr>
              <w:t>20</w:t>
            </w:r>
          </w:p>
        </w:tc>
        <w:tc>
          <w:tcPr>
            <w:tcW w:w="1784"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spacing w:line="560" w:lineRule="exact"/>
              <w:ind w:firstLine="560"/>
              <w:jc w:val="center"/>
              <w:rPr>
                <w:rFonts w:eastAsia="方正仿宋_GBK" w:cs="方正仿宋_GBK"/>
              </w:rPr>
            </w:pPr>
            <w:r>
              <w:rPr>
                <w:rFonts w:ascii="Times New Roman" w:hAnsi="Times New Roman" w:eastAsia="方正仿宋_GBK" w:cs="方正仿宋_GBK"/>
                <w:lang w:bidi="ar"/>
              </w:rPr>
              <w:t>100%</w:t>
            </w:r>
          </w:p>
        </w:tc>
        <w:tc>
          <w:tcPr>
            <w:tcW w:w="236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spacing w:line="560" w:lineRule="exact"/>
              <w:ind w:firstLine="560"/>
              <w:jc w:val="center"/>
              <w:rPr>
                <w:rFonts w:eastAsia="方正仿宋_GBK" w:cs="方正仿宋_GBK"/>
              </w:rPr>
            </w:pPr>
            <w:r>
              <w:rPr>
                <w:rFonts w:ascii="Times New Roman" w:hAnsi="Times New Roman" w:eastAsia="方正仿宋_GBK" w:cs="方正仿宋_GBK"/>
                <w:lang w:bidi="ar"/>
              </w:rPr>
              <w:t>16</w:t>
            </w:r>
          </w:p>
        </w:tc>
      </w:tr>
    </w:tbl>
    <w:p>
      <w:pPr>
        <w:pStyle w:val="7"/>
        <w:spacing w:line="540" w:lineRule="exact"/>
        <w:ind w:firstLine="640"/>
        <w:rPr>
          <w:rFonts w:ascii="方正仿宋_GBK" w:hAnsi="方正仿宋_GBK" w:eastAsia="方正仿宋_GBK" w:cs="方正仿宋_GBK"/>
          <w:kern w:val="0"/>
          <w:lang w:val="en-US" w:bidi="en-US"/>
        </w:rPr>
      </w:pPr>
    </w:p>
    <w:p>
      <w:pPr>
        <w:pStyle w:val="3"/>
        <w:spacing w:before="0" w:after="0" w:line="560" w:lineRule="exact"/>
        <w:ind w:firstLine="64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1.实施效益指标</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对于“社会效益指标”：</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喀什地区莎车县艾牙河达木斯乡1村、8村和霍什拉甫乡11村、12村中小河流治理工程，预期目标是保护耕地面积（亩) &gt;=2751亩，保护人口（人）=3567人，实际完成保护耕地面积（亩) =2751亩，保护人口（人）=3567人，与预期目标一致。根据评分标准，得</w:t>
      </w:r>
      <w:r>
        <w:rPr>
          <w:rFonts w:ascii="方正仿宋_GBK" w:hAnsi="方正仿宋_GBK" w:eastAsia="方正仿宋_GBK" w:cs="方正仿宋_GBK"/>
          <w:kern w:val="0"/>
          <w:lang w:val="en-US" w:bidi="en-US"/>
        </w:rPr>
        <w:t>8</w:t>
      </w:r>
      <w:r>
        <w:rPr>
          <w:rFonts w:hint="eastAsia" w:ascii="方正仿宋_GBK" w:hAnsi="方正仿宋_GBK" w:eastAsia="方正仿宋_GBK" w:cs="方正仿宋_GBK"/>
          <w:kern w:val="0"/>
          <w:lang w:val="en-US" w:bidi="en-US"/>
        </w:rPr>
        <w:t>分。</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对于“可持续影响指标”：</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喀什地区莎车县艾牙河达木斯乡1村、8村和霍什拉甫乡11村、12村中小河流治理工程，预期目标是工程使用年限（年）&gt;=20年，实际完成工程使用年限（年）=20年，与预期目标一致。根据评分标准，得</w:t>
      </w:r>
      <w:r>
        <w:rPr>
          <w:rFonts w:ascii="方正仿宋_GBK" w:hAnsi="方正仿宋_GBK" w:eastAsia="方正仿宋_GBK" w:cs="方正仿宋_GBK"/>
          <w:kern w:val="0"/>
          <w:lang w:val="en-US" w:bidi="en-US"/>
        </w:rPr>
        <w:t>10</w:t>
      </w:r>
      <w:r>
        <w:rPr>
          <w:rFonts w:hint="eastAsia" w:ascii="方正仿宋_GBK" w:hAnsi="方正仿宋_GBK" w:eastAsia="方正仿宋_GBK" w:cs="方正仿宋_GBK"/>
          <w:kern w:val="0"/>
          <w:lang w:val="en-US" w:bidi="en-US"/>
        </w:rPr>
        <w:t>分。</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实施效益指标合计得</w:t>
      </w:r>
      <w:r>
        <w:rPr>
          <w:rFonts w:ascii="方正仿宋_GBK" w:hAnsi="方正仿宋_GBK" w:eastAsia="方正仿宋_GBK" w:cs="方正仿宋_GBK"/>
          <w:kern w:val="0"/>
          <w:lang w:val="en-US" w:bidi="en-US"/>
        </w:rPr>
        <w:t>10</w:t>
      </w:r>
      <w:r>
        <w:rPr>
          <w:rFonts w:hint="eastAsia" w:ascii="方正仿宋_GBK" w:hAnsi="方正仿宋_GBK" w:eastAsia="方正仿宋_GBK" w:cs="方正仿宋_GBK"/>
          <w:kern w:val="0"/>
          <w:lang w:val="en-US" w:bidi="en-US"/>
        </w:rPr>
        <w:t>分。</w:t>
      </w:r>
    </w:p>
    <w:p>
      <w:pPr>
        <w:pStyle w:val="3"/>
        <w:spacing w:before="0" w:after="0" w:line="560" w:lineRule="exact"/>
        <w:ind w:firstLine="64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2.满意度指标</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对于“满意度指标：</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喀什地区莎车县艾牙河达木斯乡1村、8村和霍什拉甫乡11村、12村中小河流治理工程，预期目标是受益人口满意度（%）&gt;=95%**，实际完成受益人口满意度（%）=9</w:t>
      </w:r>
      <w:r>
        <w:rPr>
          <w:rFonts w:ascii="方正仿宋_GBK" w:hAnsi="方正仿宋_GBK" w:eastAsia="方正仿宋_GBK" w:cs="方正仿宋_GBK"/>
          <w:kern w:val="0"/>
          <w:lang w:val="en-US" w:bidi="en-US"/>
        </w:rPr>
        <w:t>5</w:t>
      </w:r>
      <w:r>
        <w:rPr>
          <w:rFonts w:hint="eastAsia" w:ascii="方正仿宋_GBK" w:hAnsi="方正仿宋_GBK" w:eastAsia="方正仿宋_GBK" w:cs="方正仿宋_GBK"/>
          <w:kern w:val="0"/>
          <w:lang w:val="en-US" w:bidi="en-US"/>
        </w:rPr>
        <w:t>%，与预期目标一致。根据评分标准，得</w:t>
      </w:r>
      <w:r>
        <w:rPr>
          <w:rFonts w:ascii="方正仿宋_GBK" w:hAnsi="方正仿宋_GBK" w:eastAsia="方正仿宋_GBK" w:cs="方正仿宋_GBK"/>
          <w:kern w:val="0"/>
          <w:lang w:val="en-US" w:bidi="en-US"/>
        </w:rPr>
        <w:t>8</w:t>
      </w:r>
      <w:r>
        <w:rPr>
          <w:rFonts w:hint="eastAsia" w:ascii="方正仿宋_GBK" w:hAnsi="方正仿宋_GBK" w:eastAsia="方正仿宋_GBK" w:cs="方正仿宋_GBK"/>
          <w:kern w:val="0"/>
          <w:lang w:val="en-US" w:bidi="en-US"/>
        </w:rPr>
        <w:t>分。</w:t>
      </w:r>
      <w:bookmarkEnd w:id="82"/>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合计得</w:t>
      </w:r>
      <w:r>
        <w:rPr>
          <w:rFonts w:ascii="方正仿宋_GBK" w:hAnsi="方正仿宋_GBK" w:eastAsia="方正仿宋_GBK" w:cs="方正仿宋_GBK"/>
          <w:kern w:val="0"/>
          <w:lang w:val="en-US" w:bidi="en-US"/>
        </w:rPr>
        <w:t>8</w:t>
      </w:r>
      <w:r>
        <w:rPr>
          <w:rFonts w:hint="eastAsia" w:ascii="方正仿宋_GBK" w:hAnsi="方正仿宋_GBK" w:eastAsia="方正仿宋_GBK" w:cs="方正仿宋_GBK"/>
          <w:kern w:val="0"/>
          <w:lang w:val="en-US" w:bidi="en-US"/>
        </w:rPr>
        <w:t>分。</w:t>
      </w:r>
    </w:p>
    <w:p>
      <w:pPr>
        <w:pStyle w:val="3"/>
        <w:spacing w:before="0" w:after="0" w:line="560" w:lineRule="exact"/>
        <w:ind w:firstLine="643"/>
        <w:rPr>
          <w:rFonts w:ascii="黑体" w:hAnsi="黑体" w:eastAsia="黑体"/>
          <w:sz w:val="32"/>
          <w:szCs w:val="32"/>
        </w:rPr>
      </w:pPr>
      <w:r>
        <w:rPr>
          <w:rFonts w:hint="eastAsia" w:ascii="黑体" w:hAnsi="黑体" w:eastAsia="黑体"/>
          <w:sz w:val="32"/>
          <w:szCs w:val="32"/>
        </w:rPr>
        <w:t>五、预算执行进度与绩效指标偏差情况</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喀什地区莎车县艾牙河达木斯乡1村、8村和霍什拉甫乡11村、12村中小河流治理工程项目预算</w:t>
      </w:r>
      <w:r>
        <w:rPr>
          <w:rFonts w:ascii="方正仿宋_GBK" w:hAnsi="方正仿宋_GBK" w:eastAsia="方正仿宋_GBK" w:cs="方正仿宋_GBK"/>
          <w:kern w:val="0"/>
          <w:lang w:val="en-US" w:bidi="en-US"/>
        </w:rPr>
        <w:t>2000</w:t>
      </w:r>
      <w:r>
        <w:rPr>
          <w:rFonts w:hint="eastAsia" w:ascii="方正仿宋_GBK" w:hAnsi="方正仿宋_GBK" w:eastAsia="方正仿宋_GBK" w:cs="方正仿宋_GBK"/>
          <w:kern w:val="0"/>
          <w:lang w:val="en-US" w:bidi="en-US"/>
        </w:rPr>
        <w:t>万元，到位</w:t>
      </w:r>
      <w:r>
        <w:rPr>
          <w:rFonts w:ascii="方正仿宋_GBK" w:hAnsi="方正仿宋_GBK" w:eastAsia="方正仿宋_GBK" w:cs="方正仿宋_GBK"/>
          <w:kern w:val="0"/>
          <w:lang w:val="en-US" w:bidi="en-US"/>
        </w:rPr>
        <w:t>2000</w:t>
      </w:r>
      <w:r>
        <w:rPr>
          <w:rFonts w:hint="eastAsia" w:ascii="方正仿宋_GBK" w:hAnsi="方正仿宋_GBK" w:eastAsia="方正仿宋_GBK" w:cs="方正仿宋_GBK"/>
          <w:kern w:val="0"/>
          <w:lang w:val="en-US" w:bidi="en-US"/>
        </w:rPr>
        <w:t>万元，实际支出</w:t>
      </w:r>
      <w:r>
        <w:rPr>
          <w:rFonts w:ascii="方正仿宋_GBK" w:hAnsi="方正仿宋_GBK" w:eastAsia="方正仿宋_GBK" w:cs="方正仿宋_GBK"/>
          <w:kern w:val="0"/>
          <w:lang w:val="en-US" w:bidi="en-US"/>
        </w:rPr>
        <w:t>2000</w:t>
      </w:r>
      <w:r>
        <w:rPr>
          <w:rFonts w:hint="eastAsia" w:ascii="方正仿宋_GBK" w:hAnsi="方正仿宋_GBK" w:eastAsia="方正仿宋_GBK" w:cs="方正仿宋_GBK"/>
          <w:kern w:val="0"/>
          <w:lang w:val="en-US" w:bidi="en-US"/>
        </w:rPr>
        <w:t>万元，预算执行率为</w:t>
      </w:r>
      <w:r>
        <w:rPr>
          <w:rFonts w:ascii="方正仿宋_GBK" w:hAnsi="方正仿宋_GBK" w:eastAsia="方正仿宋_GBK" w:cs="方正仿宋_GBK"/>
          <w:kern w:val="0"/>
          <w:lang w:val="en-US" w:bidi="en-US"/>
        </w:rPr>
        <w:t>100</w:t>
      </w:r>
      <w:r>
        <w:rPr>
          <w:rFonts w:hint="eastAsia" w:ascii="方正仿宋_GBK" w:hAnsi="方正仿宋_GBK" w:eastAsia="方正仿宋_GBK" w:cs="方正仿宋_GBK"/>
          <w:kern w:val="0"/>
          <w:lang w:val="en-US" w:bidi="en-US"/>
        </w:rPr>
        <w:t>%，项目绩效指标总体完成率为</w:t>
      </w:r>
      <w:r>
        <w:rPr>
          <w:rFonts w:ascii="方正仿宋_GBK" w:hAnsi="方正仿宋_GBK" w:eastAsia="方正仿宋_GBK" w:cs="方正仿宋_GBK"/>
          <w:kern w:val="0"/>
          <w:lang w:val="en-US" w:bidi="en-US"/>
        </w:rPr>
        <w:t>100</w:t>
      </w:r>
      <w:r>
        <w:rPr>
          <w:rFonts w:hint="eastAsia" w:ascii="方正仿宋_GBK" w:hAnsi="方正仿宋_GBK" w:eastAsia="方正仿宋_GBK" w:cs="方正仿宋_GBK"/>
          <w:kern w:val="0"/>
          <w:lang w:val="en-US" w:bidi="en-US"/>
        </w:rPr>
        <w:t>%，此项目无偏差。</w:t>
      </w:r>
    </w:p>
    <w:p>
      <w:pPr>
        <w:pStyle w:val="3"/>
        <w:spacing w:before="0" w:after="0" w:line="560" w:lineRule="exact"/>
        <w:ind w:firstLine="643"/>
        <w:rPr>
          <w:rFonts w:ascii="黑体" w:hAnsi="黑体" w:eastAsia="黑体"/>
          <w:sz w:val="32"/>
          <w:szCs w:val="32"/>
        </w:rPr>
      </w:pPr>
      <w:r>
        <w:rPr>
          <w:rFonts w:hint="eastAsia" w:ascii="黑体" w:hAnsi="黑体" w:eastAsia="黑体"/>
          <w:sz w:val="32"/>
          <w:szCs w:val="32"/>
        </w:rPr>
        <w:t>六、主要经验及做法、存在的问题及原因分析</w:t>
      </w:r>
    </w:p>
    <w:p>
      <w:pPr>
        <w:pStyle w:val="3"/>
        <w:spacing w:before="0" w:after="0"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（一）主要经验及做法</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一是本项目能够严格按照《项目实施方案》执行，项目执行情况较好。二是加强组织领导，本项目绩效评价工作，有单位主要领导亲自挂帅，从项目到资金，均能后很好的执行。三是加强沟通协调，加强与施工单位的沟通，确保项目按期完工。</w:t>
      </w:r>
    </w:p>
    <w:p>
      <w:pPr>
        <w:pStyle w:val="3"/>
        <w:spacing w:before="0" w:after="0"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（二）存在问题及原因分析</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pStyle w:val="3"/>
        <w:spacing w:before="0" w:after="0" w:line="560" w:lineRule="exact"/>
        <w:ind w:firstLine="643"/>
        <w:rPr>
          <w:rFonts w:ascii="黑体" w:hAnsi="黑体" w:eastAsia="黑体"/>
          <w:sz w:val="32"/>
          <w:szCs w:val="32"/>
        </w:rPr>
      </w:pPr>
      <w:r>
        <w:rPr>
          <w:rFonts w:hint="eastAsia" w:ascii="黑体" w:hAnsi="黑体" w:eastAsia="黑体"/>
          <w:sz w:val="32"/>
          <w:szCs w:val="32"/>
        </w:rPr>
        <w:t>七、有关建议</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二是项目评价资料有待进一步完善。项目启动时同步做好档案的归纳与整理，及时整理、收集、汇总，健全档案资料。项目后续管理有待进一步加强和跟踪。</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三是通过绩效管理，发现实施中存在漏洞，以后加强管理，及时掌握与之相关的各类信息，减少成本，使资金效益最大化。</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四是评价工作应从项目实施方案源头抓起，评价工作和意识应贯穿项目整个过程。</w:t>
      </w:r>
    </w:p>
    <w:p>
      <w:pPr>
        <w:pStyle w:val="3"/>
        <w:spacing w:before="0" w:after="0" w:line="560" w:lineRule="exact"/>
        <w:ind w:firstLine="643"/>
        <w:rPr>
          <w:rFonts w:ascii="黑体" w:hAnsi="黑体" w:eastAsia="黑体"/>
          <w:sz w:val="32"/>
          <w:szCs w:val="32"/>
        </w:rPr>
      </w:pPr>
      <w:r>
        <w:rPr>
          <w:rFonts w:hint="eastAsia" w:ascii="黑体" w:hAnsi="黑体" w:eastAsia="黑体"/>
          <w:sz w:val="32"/>
          <w:szCs w:val="32"/>
        </w:rPr>
        <w:t>八、其他需要说明的问题</w:t>
      </w:r>
    </w:p>
    <w:p>
      <w:pPr>
        <w:pStyle w:val="7"/>
        <w:spacing w:line="540" w:lineRule="exact"/>
        <w:ind w:firstLine="640"/>
        <w:rPr>
          <w:rFonts w:ascii="方正仿宋_GBK" w:hAnsi="方正仿宋_GBK" w:eastAsia="方正仿宋_GBK" w:cs="方正仿宋_GBK"/>
          <w:kern w:val="0"/>
          <w:lang w:val="en-US" w:bidi="en-US"/>
        </w:rPr>
      </w:pPr>
      <w:r>
        <w:rPr>
          <w:rFonts w:hint="eastAsia" w:ascii="方正仿宋_GBK" w:hAnsi="方正仿宋_GBK" w:eastAsia="方正仿宋_GBK" w:cs="方正仿宋_GBK"/>
          <w:kern w:val="0"/>
          <w:lang w:val="en-US" w:bidi="en-US"/>
        </w:rPr>
        <w:t>我单位对上述项目支出绩效评价报告内反映内容的真实性、完整性负责，接受上级部门及社会公众监督。</w:t>
      </w:r>
    </w:p>
    <w:p>
      <w:pPr>
        <w:pStyle w:val="7"/>
        <w:spacing w:line="540" w:lineRule="exact"/>
        <w:ind w:firstLine="560"/>
        <w:rPr>
          <w:b/>
          <w:bCs/>
          <w:kern w:val="0"/>
          <w:sz w:val="28"/>
          <w:szCs w:val="28"/>
          <w:lang w:val="en-US" w:bidi="en-US"/>
        </w:rPr>
      </w:pPr>
    </w:p>
    <w:p>
      <w:pPr>
        <w:pStyle w:val="7"/>
        <w:spacing w:line="540" w:lineRule="exact"/>
        <w:ind w:firstLine="560"/>
        <w:rPr>
          <w:rFonts w:ascii="Times New Roman" w:hAnsi="Times New Roman" w:eastAsia="方正仿宋简体" w:cs="Times New Roman"/>
          <w:lang w:val="en-US"/>
        </w:rPr>
      </w:pPr>
      <w:r>
        <w:rPr>
          <w:rFonts w:hint="eastAsia"/>
          <w:b/>
          <w:bCs/>
          <w:kern w:val="0"/>
          <w:sz w:val="28"/>
          <w:szCs w:val="28"/>
          <w:lang w:val="en-US" w:bidi="en-US"/>
        </w:rPr>
        <w:t>附件1：</w:t>
      </w:r>
      <w:bookmarkStart w:id="85" w:name="_Hlk126146527"/>
      <w:r>
        <w:rPr>
          <w:rFonts w:hint="eastAsia"/>
          <w:b/>
          <w:bCs/>
          <w:kern w:val="0"/>
          <w:sz w:val="28"/>
          <w:szCs w:val="28"/>
          <w:lang w:val="en-US" w:bidi="en-US"/>
        </w:rPr>
        <w:t>喀什地区莎车县艾牙河达木斯乡1村、8村和霍什拉甫乡11村、12村中小河流治理工程</w:t>
      </w:r>
      <w:bookmarkEnd w:id="85"/>
      <w:r>
        <w:rPr>
          <w:rFonts w:hint="eastAsia"/>
          <w:b/>
          <w:bCs/>
          <w:kern w:val="0"/>
          <w:sz w:val="28"/>
          <w:szCs w:val="28"/>
          <w:lang w:val="en-US" w:bidi="en-US"/>
        </w:rPr>
        <w:t>项目综合评分表</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方正仿宋简体">
    <w:altName w:val="微软雅黑"/>
    <w:panose1 w:val="03000509000000000000"/>
    <w:charset w:val="86"/>
    <w:family w:val="script"/>
    <w:pitch w:val="default"/>
    <w:sig w:usb0="00000000" w:usb1="00000000" w:usb2="0000001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9"/>
                      <w:ind w:firstLine="36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xNWNmNDkwMjkwMDIwNGU3Y2Q4OWFlYTBhZGU3MmIifQ=="/>
  </w:docVars>
  <w:rsids>
    <w:rsidRoot w:val="2628021F"/>
    <w:rsid w:val="00074FF3"/>
    <w:rsid w:val="00094BFA"/>
    <w:rsid w:val="000F2319"/>
    <w:rsid w:val="001636E6"/>
    <w:rsid w:val="001735B9"/>
    <w:rsid w:val="001736C3"/>
    <w:rsid w:val="002305A9"/>
    <w:rsid w:val="00244484"/>
    <w:rsid w:val="002B4D84"/>
    <w:rsid w:val="002E072D"/>
    <w:rsid w:val="003743F8"/>
    <w:rsid w:val="004C0ACB"/>
    <w:rsid w:val="00511654"/>
    <w:rsid w:val="00547686"/>
    <w:rsid w:val="006021C8"/>
    <w:rsid w:val="006609ED"/>
    <w:rsid w:val="006D186F"/>
    <w:rsid w:val="006D305F"/>
    <w:rsid w:val="006E336D"/>
    <w:rsid w:val="006E731A"/>
    <w:rsid w:val="006F427C"/>
    <w:rsid w:val="0070371C"/>
    <w:rsid w:val="00741662"/>
    <w:rsid w:val="007B7B3B"/>
    <w:rsid w:val="00823311"/>
    <w:rsid w:val="00861061"/>
    <w:rsid w:val="009E5059"/>
    <w:rsid w:val="00A01A93"/>
    <w:rsid w:val="00AD5C53"/>
    <w:rsid w:val="00B020DC"/>
    <w:rsid w:val="00B874A5"/>
    <w:rsid w:val="00C543A3"/>
    <w:rsid w:val="00C74299"/>
    <w:rsid w:val="00C75989"/>
    <w:rsid w:val="00D37619"/>
    <w:rsid w:val="00D823ED"/>
    <w:rsid w:val="00D86D6B"/>
    <w:rsid w:val="00DA479D"/>
    <w:rsid w:val="00DB695A"/>
    <w:rsid w:val="00E87D3F"/>
    <w:rsid w:val="00FC727E"/>
    <w:rsid w:val="01F47232"/>
    <w:rsid w:val="03C51479"/>
    <w:rsid w:val="04102FDF"/>
    <w:rsid w:val="04C030C7"/>
    <w:rsid w:val="058B444B"/>
    <w:rsid w:val="064B4284"/>
    <w:rsid w:val="0674352F"/>
    <w:rsid w:val="069A7EFB"/>
    <w:rsid w:val="06D71C2E"/>
    <w:rsid w:val="07846CA5"/>
    <w:rsid w:val="08054732"/>
    <w:rsid w:val="08320C65"/>
    <w:rsid w:val="08437B95"/>
    <w:rsid w:val="08A3592E"/>
    <w:rsid w:val="0974296B"/>
    <w:rsid w:val="09A56507"/>
    <w:rsid w:val="0A1A0B9C"/>
    <w:rsid w:val="0A4514BF"/>
    <w:rsid w:val="0A7126CE"/>
    <w:rsid w:val="0AA35976"/>
    <w:rsid w:val="0B694BA0"/>
    <w:rsid w:val="0BCE57D5"/>
    <w:rsid w:val="0E5341C8"/>
    <w:rsid w:val="0E550377"/>
    <w:rsid w:val="0FF80511"/>
    <w:rsid w:val="120D166A"/>
    <w:rsid w:val="133346ED"/>
    <w:rsid w:val="14601D53"/>
    <w:rsid w:val="150C2C5E"/>
    <w:rsid w:val="155B197F"/>
    <w:rsid w:val="15BE4FB7"/>
    <w:rsid w:val="165826DC"/>
    <w:rsid w:val="165A7415"/>
    <w:rsid w:val="1707367D"/>
    <w:rsid w:val="18DE2275"/>
    <w:rsid w:val="19CB70D4"/>
    <w:rsid w:val="1A966293"/>
    <w:rsid w:val="1C9A6310"/>
    <w:rsid w:val="1D09444D"/>
    <w:rsid w:val="1D27086D"/>
    <w:rsid w:val="1D8428F3"/>
    <w:rsid w:val="1DDD5320"/>
    <w:rsid w:val="1E533711"/>
    <w:rsid w:val="20351648"/>
    <w:rsid w:val="203D6234"/>
    <w:rsid w:val="208E27DD"/>
    <w:rsid w:val="20AE2EE3"/>
    <w:rsid w:val="20FA07DA"/>
    <w:rsid w:val="2149569B"/>
    <w:rsid w:val="218A327B"/>
    <w:rsid w:val="219366B8"/>
    <w:rsid w:val="229654CA"/>
    <w:rsid w:val="22E17041"/>
    <w:rsid w:val="23453447"/>
    <w:rsid w:val="23D90E5E"/>
    <w:rsid w:val="240B3EE3"/>
    <w:rsid w:val="242722B1"/>
    <w:rsid w:val="24276EE7"/>
    <w:rsid w:val="247A40DF"/>
    <w:rsid w:val="24D43819"/>
    <w:rsid w:val="250F1BAE"/>
    <w:rsid w:val="26160A06"/>
    <w:rsid w:val="2628021F"/>
    <w:rsid w:val="263C56CF"/>
    <w:rsid w:val="2768027B"/>
    <w:rsid w:val="27BB57C5"/>
    <w:rsid w:val="27C148A5"/>
    <w:rsid w:val="27ED7549"/>
    <w:rsid w:val="281B0CD1"/>
    <w:rsid w:val="28B40891"/>
    <w:rsid w:val="296236AF"/>
    <w:rsid w:val="297B5854"/>
    <w:rsid w:val="29E777B5"/>
    <w:rsid w:val="2A2D6AB9"/>
    <w:rsid w:val="2C8B4328"/>
    <w:rsid w:val="2CE34607"/>
    <w:rsid w:val="2E4059D2"/>
    <w:rsid w:val="2E893CCC"/>
    <w:rsid w:val="2E8A5CB8"/>
    <w:rsid w:val="2F9E3C0C"/>
    <w:rsid w:val="30223E1E"/>
    <w:rsid w:val="30653101"/>
    <w:rsid w:val="30EC379B"/>
    <w:rsid w:val="31692558"/>
    <w:rsid w:val="327B3A37"/>
    <w:rsid w:val="332D5984"/>
    <w:rsid w:val="349F7E72"/>
    <w:rsid w:val="34CC10FE"/>
    <w:rsid w:val="34D5653D"/>
    <w:rsid w:val="34FC7B76"/>
    <w:rsid w:val="35FE4E42"/>
    <w:rsid w:val="364370ED"/>
    <w:rsid w:val="37444B4C"/>
    <w:rsid w:val="38671AF4"/>
    <w:rsid w:val="39C17EE2"/>
    <w:rsid w:val="3A126F41"/>
    <w:rsid w:val="3A464A7C"/>
    <w:rsid w:val="3A816FB3"/>
    <w:rsid w:val="3AB8317A"/>
    <w:rsid w:val="3C365500"/>
    <w:rsid w:val="3C7468DD"/>
    <w:rsid w:val="3CDC4A97"/>
    <w:rsid w:val="3CFF1079"/>
    <w:rsid w:val="3DF46889"/>
    <w:rsid w:val="3DF75E51"/>
    <w:rsid w:val="40311165"/>
    <w:rsid w:val="406D237C"/>
    <w:rsid w:val="40FB4CEF"/>
    <w:rsid w:val="43205EF4"/>
    <w:rsid w:val="43627942"/>
    <w:rsid w:val="43823D3A"/>
    <w:rsid w:val="445155AC"/>
    <w:rsid w:val="4454199A"/>
    <w:rsid w:val="44823CAD"/>
    <w:rsid w:val="461A688B"/>
    <w:rsid w:val="465C7DDA"/>
    <w:rsid w:val="467F22B3"/>
    <w:rsid w:val="47BB33BC"/>
    <w:rsid w:val="48B62722"/>
    <w:rsid w:val="48FD0612"/>
    <w:rsid w:val="49217800"/>
    <w:rsid w:val="49D81B5C"/>
    <w:rsid w:val="4AE637A8"/>
    <w:rsid w:val="4B2064B0"/>
    <w:rsid w:val="4C575F54"/>
    <w:rsid w:val="4CD264C8"/>
    <w:rsid w:val="4DA9413D"/>
    <w:rsid w:val="4FB5368D"/>
    <w:rsid w:val="4FF26FB6"/>
    <w:rsid w:val="508B6C5A"/>
    <w:rsid w:val="5221340A"/>
    <w:rsid w:val="53D53105"/>
    <w:rsid w:val="53E37769"/>
    <w:rsid w:val="547B0177"/>
    <w:rsid w:val="55003FC5"/>
    <w:rsid w:val="559641A4"/>
    <w:rsid w:val="56E04F89"/>
    <w:rsid w:val="56EE428E"/>
    <w:rsid w:val="593140B6"/>
    <w:rsid w:val="59AB14DB"/>
    <w:rsid w:val="5B14581D"/>
    <w:rsid w:val="5CAA62EA"/>
    <w:rsid w:val="5D0B39B4"/>
    <w:rsid w:val="5F874D0B"/>
    <w:rsid w:val="602E6E28"/>
    <w:rsid w:val="6206024F"/>
    <w:rsid w:val="63253392"/>
    <w:rsid w:val="63306AC8"/>
    <w:rsid w:val="645C39D7"/>
    <w:rsid w:val="64615C38"/>
    <w:rsid w:val="654D77C7"/>
    <w:rsid w:val="661D0FFC"/>
    <w:rsid w:val="689C3B96"/>
    <w:rsid w:val="69683DA6"/>
    <w:rsid w:val="69AA4A11"/>
    <w:rsid w:val="6B644B4D"/>
    <w:rsid w:val="6B6B77CC"/>
    <w:rsid w:val="6BB50693"/>
    <w:rsid w:val="6BC7362F"/>
    <w:rsid w:val="726E0125"/>
    <w:rsid w:val="731316CC"/>
    <w:rsid w:val="733D6C5B"/>
    <w:rsid w:val="734359D5"/>
    <w:rsid w:val="743021D2"/>
    <w:rsid w:val="74BC2628"/>
    <w:rsid w:val="75205BC0"/>
    <w:rsid w:val="7640119C"/>
    <w:rsid w:val="766F017D"/>
    <w:rsid w:val="76891462"/>
    <w:rsid w:val="76C4268E"/>
    <w:rsid w:val="77623D4D"/>
    <w:rsid w:val="77BD6850"/>
    <w:rsid w:val="78491E93"/>
    <w:rsid w:val="78D13FDA"/>
    <w:rsid w:val="7A561DDD"/>
    <w:rsid w:val="7A844AF8"/>
    <w:rsid w:val="7B9E6857"/>
    <w:rsid w:val="7CA7624C"/>
    <w:rsid w:val="7CD1448D"/>
    <w:rsid w:val="7CDA64EC"/>
    <w:rsid w:val="7D27595F"/>
    <w:rsid w:val="7DA1727D"/>
    <w:rsid w:val="7E471C13"/>
    <w:rsid w:val="7E61558C"/>
    <w:rsid w:val="7EAF19AB"/>
    <w:rsid w:val="7F224767"/>
    <w:rsid w:val="7F6233A6"/>
    <w:rsid w:val="7F682353"/>
    <w:rsid w:val="7F892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1"/>
    <w:qFormat/>
    <w:uiPriority w:val="1"/>
    <w:pPr>
      <w:ind w:left="760"/>
      <w:outlineLvl w:val="1"/>
    </w:pPr>
    <w:rPr>
      <w:rFonts w:ascii="仿宋_GB2312" w:hAnsi="仿宋_GB2312" w:cs="仿宋_GB2312"/>
      <w:b/>
      <w:bCs/>
      <w:sz w:val="32"/>
      <w:szCs w:val="32"/>
      <w:lang w:val="zh-CN" w:bidi="zh-CN"/>
    </w:rPr>
  </w:style>
  <w:style w:type="paragraph" w:styleId="2">
    <w:name w:val="heading 3"/>
    <w:basedOn w:val="1"/>
    <w:next w:val="1"/>
    <w:unhideWhenUsed/>
    <w:qFormat/>
    <w:uiPriority w:val="0"/>
    <w:pPr>
      <w:keepNext/>
      <w:keepLines/>
      <w:spacing w:before="260" w:after="260" w:line="413" w:lineRule="auto"/>
      <w:outlineLvl w:val="2"/>
    </w:pPr>
    <w:rPr>
      <w:b/>
      <w:sz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rPr>
  </w:style>
  <w:style w:type="character" w:default="1" w:styleId="16">
    <w:name w:val="Default Paragraph Font"/>
    <w:semiHidden/>
    <w:unhideWhenUsed/>
    <w:qFormat/>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6">
    <w:name w:val="annotation text"/>
    <w:basedOn w:val="1"/>
    <w:link w:val="27"/>
    <w:unhideWhenUsed/>
    <w:qFormat/>
    <w:uiPriority w:val="99"/>
    <w:rPr>
      <w:rFonts w:cs="Times New Roman"/>
      <w:kern w:val="0"/>
      <w:sz w:val="20"/>
      <w:szCs w:val="20"/>
    </w:rPr>
  </w:style>
  <w:style w:type="paragraph" w:styleId="7">
    <w:name w:val="Body Text"/>
    <w:basedOn w:val="1"/>
    <w:link w:val="24"/>
    <w:qFormat/>
    <w:uiPriority w:val="1"/>
    <w:rPr>
      <w:rFonts w:ascii="仿宋_GB2312" w:hAnsi="仿宋_GB2312" w:cs="仿宋_GB2312"/>
      <w:sz w:val="32"/>
      <w:szCs w:val="32"/>
      <w:lang w:val="zh-CN" w:bidi="zh-CN"/>
    </w:rPr>
  </w:style>
  <w:style w:type="paragraph" w:styleId="8">
    <w:name w:val="toc 3"/>
    <w:basedOn w:val="1"/>
    <w:next w:val="1"/>
    <w:qFormat/>
    <w:uiPriority w:val="0"/>
    <w:pPr>
      <w:ind w:left="840" w:leftChars="4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unhideWhenUsed/>
    <w:qFormat/>
    <w:uiPriority w:val="39"/>
    <w:pPr>
      <w:spacing w:before="120" w:after="120"/>
      <w:jc w:val="left"/>
    </w:pPr>
    <w:rPr>
      <w:rFonts w:cs="Calibri"/>
      <w:b/>
      <w:bCs/>
      <w:caps/>
      <w:sz w:val="20"/>
      <w:szCs w:val="20"/>
    </w:rPr>
  </w:style>
  <w:style w:type="paragraph" w:styleId="12">
    <w:name w:val="toc 2"/>
    <w:basedOn w:val="1"/>
    <w:next w:val="1"/>
    <w:qFormat/>
    <w:uiPriority w:val="0"/>
    <w:pPr>
      <w:ind w:left="420" w:leftChars="200"/>
    </w:pPr>
  </w:style>
  <w:style w:type="paragraph" w:styleId="13">
    <w:name w:val="Normal (Web)"/>
    <w:basedOn w:val="1"/>
    <w:qFormat/>
    <w:uiPriority w:val="0"/>
    <w:pPr>
      <w:spacing w:beforeAutospacing="1" w:afterAutospacing="1"/>
      <w:jc w:val="left"/>
    </w:pPr>
    <w:rPr>
      <w:rFonts w:cs="Times New Roman"/>
      <w:kern w:val="0"/>
      <w:sz w:val="24"/>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bCs/>
    </w:rPr>
  </w:style>
  <w:style w:type="character" w:styleId="18">
    <w:name w:val="Hyperlink"/>
    <w:basedOn w:val="16"/>
    <w:qFormat/>
    <w:uiPriority w:val="0"/>
    <w:rPr>
      <w:color w:val="0000FF"/>
      <w:u w:val="single"/>
    </w:rPr>
  </w:style>
  <w:style w:type="paragraph" w:customStyle="1" w:styleId="19">
    <w:name w:val="_Style 1"/>
    <w:qFormat/>
    <w:uiPriority w:val="0"/>
    <w:pPr>
      <w:widowControl w:val="0"/>
      <w:jc w:val="both"/>
    </w:pPr>
    <w:rPr>
      <w:rFonts w:ascii="Calibri" w:hAnsi="Calibri" w:eastAsia="宋体" w:cs="Times New Roman"/>
      <w:kern w:val="2"/>
      <w:sz w:val="21"/>
      <w:szCs w:val="22"/>
      <w:lang w:val="en-US" w:eastAsia="zh-CN" w:bidi="ar-SA"/>
    </w:rPr>
  </w:style>
  <w:style w:type="paragraph" w:styleId="20">
    <w:name w:val="List Paragraph"/>
    <w:basedOn w:val="1"/>
    <w:qFormat/>
    <w:uiPriority w:val="1"/>
    <w:pPr>
      <w:ind w:left="1002" w:hanging="243"/>
    </w:pPr>
    <w:rPr>
      <w:rFonts w:ascii="仿宋_GB2312" w:hAnsi="仿宋_GB2312" w:cs="仿宋_GB2312"/>
      <w:lang w:val="zh-CN" w:bidi="zh-CN"/>
    </w:rPr>
  </w:style>
  <w:style w:type="paragraph" w:customStyle="1" w:styleId="21">
    <w:name w:val="Table Paragraph"/>
    <w:basedOn w:val="1"/>
    <w:qFormat/>
    <w:uiPriority w:val="1"/>
    <w:rPr>
      <w:rFonts w:ascii="宋体" w:hAnsi="宋体" w:eastAsia="宋体" w:cs="宋体"/>
      <w:lang w:val="zh-CN" w:bidi="zh-CN"/>
    </w:rPr>
  </w:style>
  <w:style w:type="paragraph" w:customStyle="1" w:styleId="22">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23">
    <w:name w:val="闻政正文"/>
    <w:basedOn w:val="1"/>
    <w:qFormat/>
    <w:uiPriority w:val="99"/>
    <w:pPr>
      <w:spacing w:line="500" w:lineRule="exact"/>
      <w:ind w:firstLine="560"/>
    </w:pPr>
    <w:rPr>
      <w:rFonts w:ascii="Times New Roman" w:hAnsi="Times New Roman"/>
      <w:kern w:val="0"/>
      <w:szCs w:val="28"/>
    </w:rPr>
  </w:style>
  <w:style w:type="character" w:customStyle="1" w:styleId="24">
    <w:name w:val="正文文本 字符"/>
    <w:link w:val="7"/>
    <w:qFormat/>
    <w:uiPriority w:val="1"/>
    <w:rPr>
      <w:rFonts w:ascii="仿宋_GB2312" w:hAnsi="仿宋_GB2312" w:eastAsia="仿宋_GB2312" w:cs="仿宋_GB2312"/>
      <w:sz w:val="32"/>
      <w:szCs w:val="32"/>
      <w:lang w:val="zh-CN" w:eastAsia="zh-CN" w:bidi="zh-CN"/>
    </w:rPr>
  </w:style>
  <w:style w:type="paragraph" w:customStyle="1" w:styleId="25">
    <w:name w:val="闻政-正文一级标题"/>
    <w:basedOn w:val="2"/>
    <w:next w:val="22"/>
    <w:qFormat/>
    <w:uiPriority w:val="3"/>
    <w:pPr>
      <w:spacing w:before="120" w:after="60" w:line="500" w:lineRule="exact"/>
      <w:ind w:firstLine="0" w:firstLineChars="0"/>
      <w:outlineLvl w:val="0"/>
    </w:pPr>
    <w:rPr>
      <w:rFonts w:ascii="黑体" w:hAnsi="黑体" w:eastAsia="黑体"/>
    </w:rPr>
  </w:style>
  <w:style w:type="paragraph" w:customStyle="1" w:styleId="26">
    <w:name w:val="闻政-正文二级标题"/>
    <w:basedOn w:val="4"/>
    <w:next w:val="22"/>
    <w:qFormat/>
    <w:uiPriority w:val="3"/>
    <w:pPr>
      <w:spacing w:before="120" w:after="60" w:line="500" w:lineRule="exact"/>
      <w:ind w:left="200" w:leftChars="200" w:firstLine="0" w:firstLineChars="0"/>
    </w:pPr>
    <w:rPr>
      <w:rFonts w:ascii="Times New Roman" w:hAnsi="Times New Roman"/>
      <w:sz w:val="28"/>
    </w:rPr>
  </w:style>
  <w:style w:type="character" w:customStyle="1" w:styleId="27">
    <w:name w:val="批注文字 字符"/>
    <w:basedOn w:val="16"/>
    <w:link w:val="6"/>
    <w:qFormat/>
    <w:uiPriority w:val="0"/>
    <w:rPr>
      <w:rFonts w:hint="default" w:ascii="Calibri" w:hAnsi="Calibri" w:eastAsia="仿宋_GB2312" w:cs="Calibri"/>
      <w:lang w:bidi="ar"/>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1105</Words>
  <Characters>6301</Characters>
  <Lines>52</Lines>
  <Paragraphs>14</Paragraphs>
  <TotalTime>592</TotalTime>
  <ScaleCrop>false</ScaleCrop>
  <LinksUpToDate>false</LinksUpToDate>
  <CharactersWithSpaces>7392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2021-07-11T09:52:00Z</dcterms:created>
  <dc:creator>醜金寶QQ873133969</dc:creator>
  <cp:lastModifiedBy>Administrator</cp:lastModifiedBy>
  <dcterms:modified xsi:type="dcterms:W3CDTF">2023-08-21T09:02:55Z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078BB43FB15D49568D5D8E8AF7F64E97</vt:lpwstr>
  </property>
  <property fmtid="{D5CDD505-2E9C-101B-9397-08002B2CF9AE}" pid="4" name="KSOSaveFontToCloudKey">
    <vt:lpwstr>1205343577_btnclosed</vt:lpwstr>
  </property>
</Properties>
</file>