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auto"/>
        <w:jc w:val="center"/>
        <w:rPr>
          <w:rFonts w:ascii="仿宋_GB2312" w:hAnsi="仿宋_GB2312" w:cs="仿宋_GB2312"/>
          <w:b/>
          <w:kern w:val="0"/>
          <w:sz w:val="32"/>
          <w:szCs w:val="32"/>
          <w:lang w:bidi="en-US"/>
        </w:rPr>
      </w:pP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莎车县农业农村局2022年巩固拓展脱贫攻坚</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成果衔接推进乡村振兴项目资金</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绩效自评总结报告</w:t>
      </w:r>
    </w:p>
    <w:p>
      <w:pPr>
        <w:jc w:val="center"/>
        <w:rPr>
          <w:rFonts w:ascii="方正小标宋_GBK" w:hAnsi="Times New Roman" w:eastAsia="方正小标宋_GBK" w:cs="Times New Roman"/>
          <w:kern w:val="0"/>
          <w:sz w:val="44"/>
          <w:szCs w:val="44"/>
          <w:lang w:bidi="en-US"/>
        </w:rPr>
      </w:pPr>
      <w:r>
        <w:rPr>
          <w:rFonts w:hint="eastAsia" w:ascii="方正小标宋_GBK" w:hAnsi="Times New Roman" w:eastAsia="方正小标宋_GBK" w:cs="Times New Roman"/>
          <w:kern w:val="0"/>
          <w:sz w:val="44"/>
          <w:szCs w:val="44"/>
          <w:lang w:bidi="en-US"/>
        </w:rPr>
        <w:t>（2022年度）</w:t>
      </w:r>
    </w:p>
    <w:p>
      <w:pPr>
        <w:spacing w:line="480" w:lineRule="auto"/>
        <w:jc w:val="center"/>
        <w:rPr>
          <w:rFonts w:ascii="Times New Roman" w:hAnsi="Times New Roman" w:eastAsia="黑体" w:cs="Times New Roman"/>
          <w:b/>
          <w:kern w:val="0"/>
          <w:sz w:val="50"/>
          <w:szCs w:val="50"/>
          <w:lang w:bidi="en-US"/>
        </w:rPr>
      </w:pPr>
    </w:p>
    <w:p>
      <w:pPr>
        <w:spacing w:line="480" w:lineRule="auto"/>
        <w:jc w:val="center"/>
        <w:rPr>
          <w:rFonts w:ascii="Times New Roman" w:hAnsi="Times New Roman" w:eastAsia="黑体" w:cs="Times New Roman"/>
          <w:b/>
          <w:kern w:val="0"/>
          <w:sz w:val="50"/>
          <w:szCs w:val="50"/>
          <w:lang w:bidi="en-US"/>
        </w:rPr>
      </w:pPr>
    </w:p>
    <w:p>
      <w:pPr>
        <w:spacing w:line="480" w:lineRule="auto"/>
        <w:jc w:val="center"/>
        <w:rPr>
          <w:rFonts w:ascii="Times New Roman" w:hAnsi="Times New Roman" w:eastAsia="黑体" w:cs="Times New Roman"/>
          <w:b/>
          <w:kern w:val="0"/>
          <w:sz w:val="50"/>
          <w:szCs w:val="50"/>
          <w:lang w:bidi="en-US"/>
        </w:rPr>
      </w:pPr>
    </w:p>
    <w:p>
      <w:pPr>
        <w:spacing w:line="480" w:lineRule="auto"/>
        <w:ind w:firstLine="566" w:firstLineChars="177"/>
        <w:jc w:val="left"/>
        <w:rPr>
          <w:rFonts w:ascii="方正仿宋_GBK" w:hAnsi="Times New Roman" w:eastAsia="方正仿宋_GBK" w:cs="Times New Roman"/>
          <w:kern w:val="0"/>
          <w:sz w:val="32"/>
          <w:szCs w:val="32"/>
          <w:lang w:bidi="en-US"/>
        </w:rPr>
      </w:pPr>
      <w:r>
        <w:rPr>
          <w:rFonts w:hint="eastAsia" w:ascii="方正仿宋_GBK" w:hAnsi="Times New Roman" w:eastAsia="方正仿宋_GBK" w:cs="Times New Roman"/>
          <w:kern w:val="0"/>
          <w:sz w:val="32"/>
          <w:szCs w:val="32"/>
          <w:lang w:bidi="en-US"/>
        </w:rPr>
        <w:t>项目名称：莎车县农业产业建设项目</w:t>
      </w:r>
    </w:p>
    <w:p>
      <w:pPr>
        <w:spacing w:line="480" w:lineRule="auto"/>
        <w:ind w:firstLine="566" w:firstLineChars="177"/>
        <w:jc w:val="left"/>
        <w:rPr>
          <w:rFonts w:ascii="方正仿宋_GBK" w:hAnsi="Times New Roman" w:eastAsia="方正仿宋_GBK" w:cs="Times New Roman"/>
          <w:kern w:val="0"/>
          <w:sz w:val="32"/>
          <w:szCs w:val="32"/>
          <w:lang w:bidi="en-US"/>
        </w:rPr>
      </w:pPr>
      <w:r>
        <w:rPr>
          <w:rFonts w:hint="eastAsia" w:ascii="方正仿宋_GBK" w:hAnsi="Times New Roman" w:eastAsia="方正仿宋_GBK" w:cs="Times New Roman"/>
          <w:kern w:val="0"/>
          <w:sz w:val="32"/>
          <w:szCs w:val="32"/>
          <w:lang w:bidi="en-US"/>
        </w:rPr>
        <w:t>实施单位：莎车县农业农村局</w:t>
      </w:r>
    </w:p>
    <w:p>
      <w:pPr>
        <w:spacing w:line="480" w:lineRule="auto"/>
        <w:ind w:firstLine="566" w:firstLineChars="177"/>
        <w:jc w:val="left"/>
        <w:rPr>
          <w:rFonts w:ascii="方正仿宋_GBK" w:hAnsi="Times New Roman" w:eastAsia="方正仿宋_GBK" w:cs="Times New Roman"/>
          <w:kern w:val="0"/>
          <w:sz w:val="32"/>
          <w:szCs w:val="32"/>
          <w:lang w:bidi="en-US"/>
        </w:rPr>
      </w:pPr>
      <w:r>
        <w:rPr>
          <w:rFonts w:hint="eastAsia" w:ascii="方正仿宋_GBK" w:hAnsi="Times New Roman" w:eastAsia="方正仿宋_GBK" w:cs="Times New Roman"/>
          <w:kern w:val="0"/>
          <w:sz w:val="32"/>
          <w:szCs w:val="32"/>
          <w:lang w:bidi="en-US"/>
        </w:rPr>
        <w:t>主管部门：莎车县农业农村局</w:t>
      </w:r>
    </w:p>
    <w:p>
      <w:pPr>
        <w:spacing w:line="480" w:lineRule="auto"/>
        <w:ind w:firstLine="566" w:firstLineChars="177"/>
        <w:jc w:val="left"/>
        <w:rPr>
          <w:rFonts w:ascii="方正仿宋_GBK" w:hAnsi="仿宋_GB2312" w:eastAsia="方正仿宋_GBK" w:cs="仿宋_GB2312"/>
          <w:kern w:val="0"/>
          <w:sz w:val="32"/>
          <w:szCs w:val="32"/>
          <w:lang w:bidi="en-US"/>
        </w:rPr>
      </w:pPr>
      <w:r>
        <w:rPr>
          <w:rFonts w:hint="eastAsia" w:ascii="方正仿宋_GBK" w:hAnsi="仿宋_GB2312" w:eastAsia="方正仿宋_GBK" w:cs="仿宋_GB2312"/>
          <w:kern w:val="0"/>
          <w:sz w:val="32"/>
          <w:szCs w:val="32"/>
          <w:lang w:bidi="en-US"/>
        </w:rPr>
        <w:t>项目负责人：武斌</w:t>
      </w:r>
    </w:p>
    <w:p>
      <w:pPr>
        <w:spacing w:line="480" w:lineRule="auto"/>
        <w:ind w:firstLine="566" w:firstLineChars="177"/>
        <w:jc w:val="left"/>
        <w:rPr>
          <w:rFonts w:ascii="方正仿宋_GBK" w:hAnsi="仿宋_GB2312" w:eastAsia="方正仿宋_GBK" w:cs="仿宋_GB2312"/>
          <w:kern w:val="0"/>
          <w:sz w:val="32"/>
          <w:szCs w:val="32"/>
          <w:lang w:bidi="en-US"/>
        </w:rPr>
      </w:pPr>
      <w:r>
        <w:rPr>
          <w:rFonts w:hint="eastAsia" w:ascii="方正仿宋_GBK" w:hAnsi="仿宋_GB2312" w:eastAsia="方正仿宋_GBK" w:cs="仿宋_GB2312"/>
          <w:kern w:val="0"/>
          <w:sz w:val="32"/>
          <w:szCs w:val="32"/>
          <w:lang w:bidi="en-US"/>
        </w:rPr>
        <w:t>填报时间：2022年12月31日</w:t>
      </w:r>
    </w:p>
    <w:p>
      <w:pPr>
        <w:spacing w:line="480" w:lineRule="auto"/>
        <w:ind w:firstLine="1411" w:firstLineChars="441"/>
        <w:jc w:val="left"/>
        <w:rPr>
          <w:rFonts w:ascii="仿宋_GB2312" w:hAnsi="仿宋_GB2312" w:cs="仿宋_GB2312"/>
          <w:kern w:val="0"/>
          <w:sz w:val="32"/>
          <w:szCs w:val="32"/>
          <w:lang w:bidi="en-US"/>
        </w:rPr>
      </w:pPr>
    </w:p>
    <w:p>
      <w:pPr>
        <w:spacing w:line="480" w:lineRule="auto"/>
        <w:ind w:firstLine="926" w:firstLineChars="441"/>
        <w:jc w:val="left"/>
        <w:sectPr>
          <w:pgSz w:w="11906" w:h="16838"/>
          <w:pgMar w:top="1985" w:right="1134" w:bottom="1134" w:left="1701" w:header="737" w:footer="737" w:gutter="0"/>
          <w:pgNumType w:start="1"/>
          <w:cols w:space="425" w:num="1"/>
          <w:docGrid w:linePitch="312" w:charSpace="0"/>
        </w:sectPr>
      </w:pPr>
    </w:p>
    <w:p>
      <w:pPr>
        <w:spacing w:line="480" w:lineRule="auto"/>
        <w:ind w:firstLine="926" w:firstLineChars="441"/>
        <w:jc w:val="left"/>
        <w:sectPr>
          <w:type w:val="continuous"/>
          <w:pgSz w:w="11906" w:h="16838"/>
          <w:pgMar w:top="1985" w:right="1134" w:bottom="1134" w:left="1701" w:header="737" w:footer="737" w:gutter="0"/>
          <w:cols w:space="425" w:num="1"/>
          <w:docGrid w:linePitch="312" w:charSpace="0"/>
        </w:sectPr>
      </w:pP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莎车县农业农村局2022年巩固拓展脱贫攻坚</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成果衔接推进乡村振兴项目资金</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绩效自评总结报告</w:t>
      </w:r>
    </w:p>
    <w:p>
      <w:pPr>
        <w:pStyle w:val="47"/>
        <w:ind w:left="2" w:right="2" w:firstLine="640"/>
      </w:pPr>
    </w:p>
    <w:p>
      <w:pPr>
        <w:pStyle w:val="24"/>
        <w:numPr>
          <w:ilvl w:val="1"/>
          <w:numId w:val="1"/>
        </w:numPr>
        <w:spacing w:before="120"/>
        <w:ind w:left="2" w:right="2" w:firstLine="643"/>
      </w:pPr>
      <w:r>
        <w:rPr>
          <w:rFonts w:hint="eastAsia"/>
        </w:rPr>
        <w:t>绩效目标分解下达情况</w:t>
      </w:r>
    </w:p>
    <w:p>
      <w:pPr>
        <w:pStyle w:val="26"/>
        <w:numPr>
          <w:ilvl w:val="2"/>
          <w:numId w:val="1"/>
        </w:numPr>
        <w:spacing w:before="120"/>
        <w:ind w:left="2" w:right="2" w:firstLine="643"/>
      </w:pPr>
      <w:r>
        <w:rPr>
          <w:rFonts w:hint="eastAsia"/>
        </w:rPr>
        <w:t>财政专项乡村振兴衔接资金下达预算及项目情况</w:t>
      </w:r>
    </w:p>
    <w:p>
      <w:pPr>
        <w:pStyle w:val="28"/>
        <w:numPr>
          <w:ilvl w:val="3"/>
          <w:numId w:val="1"/>
        </w:numPr>
        <w:spacing w:before="120"/>
        <w:ind w:left="2" w:right="2" w:firstLine="643"/>
      </w:pPr>
      <w:r>
        <w:rPr>
          <w:rFonts w:hint="eastAsia"/>
        </w:rPr>
        <w:t>下达预算情况</w:t>
      </w:r>
    </w:p>
    <w:p>
      <w:pPr>
        <w:pStyle w:val="47"/>
        <w:ind w:left="2" w:right="2" w:firstLine="640"/>
      </w:pPr>
      <w:r>
        <w:t>本项目根据莎</w:t>
      </w:r>
      <w:r>
        <w:rPr>
          <w:rFonts w:hint="eastAsia"/>
        </w:rPr>
        <w:t>发改</w:t>
      </w:r>
      <w:r>
        <w:t>〔202</w:t>
      </w:r>
      <w:r>
        <w:rPr>
          <w:rFonts w:hint="eastAsia"/>
        </w:rPr>
        <w:t>2</w:t>
      </w:r>
      <w:r>
        <w:t>〕</w:t>
      </w:r>
      <w:r>
        <w:rPr>
          <w:rFonts w:hint="eastAsia"/>
        </w:rPr>
        <w:t>309、329、380</w:t>
      </w:r>
      <w:r>
        <w:t>号</w:t>
      </w:r>
      <w:r>
        <w:rPr>
          <w:rFonts w:hint="eastAsia"/>
        </w:rPr>
        <w:t>莎车县农业产业建设项目</w:t>
      </w:r>
      <w:r>
        <w:t>批复立项实施，</w:t>
      </w:r>
      <w:r>
        <w:rPr>
          <w:rFonts w:hint="eastAsia"/>
          <w:color w:val="000000" w:themeColor="text1"/>
          <w14:textFill>
            <w14:solidFill>
              <w14:schemeClr w14:val="tx1"/>
            </w14:solidFill>
          </w14:textFill>
        </w:rPr>
        <w:t>莎财扶</w:t>
      </w:r>
      <w:r>
        <w:t>〔</w:t>
      </w:r>
      <w:r>
        <w:rPr>
          <w:rFonts w:hint="eastAsia"/>
          <w:color w:val="000000" w:themeColor="text1"/>
          <w14:textFill>
            <w14:solidFill>
              <w14:schemeClr w14:val="tx1"/>
            </w14:solidFill>
          </w14:textFill>
        </w:rPr>
        <w:t>2022</w:t>
      </w:r>
      <w:r>
        <w:t>〕</w:t>
      </w:r>
      <w:r>
        <w:rPr>
          <w:rFonts w:hint="eastAsia"/>
          <w:color w:val="000000" w:themeColor="text1"/>
          <w14:textFill>
            <w14:solidFill>
              <w14:schemeClr w14:val="tx1"/>
            </w14:solidFill>
          </w14:textFill>
        </w:rPr>
        <w:t>206号</w:t>
      </w:r>
      <w:r>
        <w:t>文确定下达资金395万元，实际到位395万元</w:t>
      </w:r>
      <w:r>
        <w:rPr>
          <w:rFonts w:hint="eastAsia"/>
        </w:rPr>
        <w:t>，资金来源为衔接资金。</w:t>
      </w:r>
    </w:p>
    <w:p>
      <w:pPr>
        <w:pStyle w:val="28"/>
        <w:numPr>
          <w:ilvl w:val="3"/>
          <w:numId w:val="1"/>
        </w:numPr>
        <w:spacing w:before="120"/>
        <w:ind w:left="2" w:right="2" w:firstLine="643"/>
      </w:pPr>
      <w:r>
        <w:rPr>
          <w:rFonts w:hint="eastAsia"/>
        </w:rPr>
        <w:t>项目情况</w:t>
      </w:r>
    </w:p>
    <w:p>
      <w:pPr>
        <w:pStyle w:val="47"/>
        <w:ind w:left="2" w:right="2" w:firstLine="640"/>
      </w:pPr>
      <w:r>
        <w:t>本项目实施单位是莎车县农业农村局。</w:t>
      </w:r>
    </w:p>
    <w:p>
      <w:pPr>
        <w:pStyle w:val="47"/>
        <w:ind w:left="2" w:right="2" w:firstLine="640"/>
      </w:pPr>
      <w:r>
        <w:t>本项目主要内容是</w:t>
      </w:r>
      <w:r>
        <w:rPr>
          <w:rFonts w:hint="eastAsia"/>
        </w:rPr>
        <w:t>：</w:t>
      </w:r>
    </w:p>
    <w:p>
      <w:pPr>
        <w:pStyle w:val="47"/>
        <w:ind w:left="2" w:right="2" w:firstLine="640"/>
      </w:pPr>
      <w:r>
        <w:rPr>
          <w:rFonts w:hint="eastAsia"/>
        </w:rPr>
        <w:t>（1）阿扎特巴格乡4村、5村温室大棚配套电力设施（160kw变压器）1台及相关附属设施，投资30万元。</w:t>
      </w:r>
    </w:p>
    <w:p>
      <w:pPr>
        <w:pStyle w:val="47"/>
        <w:ind w:left="2" w:right="2" w:firstLine="640"/>
      </w:pPr>
      <w:r>
        <w:rPr>
          <w:rFonts w:hint="eastAsia"/>
        </w:rPr>
        <w:t>（2）孜热甫夏提乡12村新建温室大棚并配套附属设施，投资230万元。</w:t>
      </w:r>
    </w:p>
    <w:p>
      <w:pPr>
        <w:pStyle w:val="47"/>
        <w:ind w:left="2" w:right="2" w:firstLine="640"/>
      </w:pPr>
      <w:r>
        <w:rPr>
          <w:rFonts w:hint="eastAsia"/>
        </w:rPr>
        <w:t>（3）对全县29个乡镇、管委会的48000户脱贫户及脱贫不稳定户、边缘易致贫户和突发严重困难户发展庭院种植给予蔬菜种苗补助，投资135万元。</w:t>
      </w:r>
    </w:p>
    <w:p>
      <w:pPr>
        <w:pStyle w:val="26"/>
        <w:numPr>
          <w:ilvl w:val="2"/>
          <w:numId w:val="1"/>
        </w:numPr>
        <w:spacing w:before="120"/>
        <w:ind w:left="2" w:right="2" w:firstLine="643"/>
      </w:pPr>
      <w:r>
        <w:rPr>
          <w:rFonts w:hint="eastAsia"/>
        </w:rPr>
        <w:t>财政专项乡村振兴衔接资金项目绩效目标设定情况</w:t>
      </w:r>
    </w:p>
    <w:p>
      <w:pPr>
        <w:pStyle w:val="28"/>
        <w:numPr>
          <w:ilvl w:val="3"/>
          <w:numId w:val="1"/>
        </w:numPr>
        <w:spacing w:before="120"/>
        <w:ind w:left="2" w:right="2" w:firstLine="643"/>
      </w:pPr>
      <w:r>
        <w:rPr>
          <w:rFonts w:hint="eastAsia"/>
        </w:rPr>
        <w:t>项目绩效总体目标</w:t>
      </w:r>
    </w:p>
    <w:p>
      <w:pPr>
        <w:pStyle w:val="47"/>
        <w:ind w:left="2" w:right="2" w:firstLine="640"/>
      </w:pPr>
      <w:r>
        <w:rPr>
          <w:rFonts w:hint="eastAsia"/>
        </w:rPr>
        <w:t>本项目的实施是通过产业发展实现巩固拓展脱贫攻坚成果与乡村振兴有效衔接的作用，从而推动扶贫产业向特色产业转变，将推动产业发展的工作与推动乡村产业振兴联系起来，以产业的持续壮大，增加当地的经济实力和活力，提供更多更稳定就业。实施本项目后，脱贫户通过种植时令蔬菜，实现自食、销售的同时，也能提升庭院种植技术水平，从而达到提高土地利用率和增加农民收入的目的。项目将带动增加受益脱贫人口收入240万元以上，受益人口可达192000人。</w:t>
      </w:r>
    </w:p>
    <w:p>
      <w:pPr>
        <w:pStyle w:val="28"/>
        <w:numPr>
          <w:ilvl w:val="3"/>
          <w:numId w:val="1"/>
        </w:numPr>
        <w:spacing w:before="120"/>
        <w:ind w:left="2" w:right="2" w:firstLine="643"/>
      </w:pPr>
      <w:r>
        <w:rPr>
          <w:rFonts w:hint="eastAsia"/>
        </w:rPr>
        <w:t>具体绩效指标</w:t>
      </w:r>
    </w:p>
    <w:p>
      <w:pPr>
        <w:pStyle w:val="47"/>
        <w:ind w:left="2" w:right="2" w:firstLine="640"/>
      </w:pPr>
      <w:r>
        <w:t>根据《自治区财政专项扶贫资金绩效管理操作指南》（新财预〔2019〕170号）的规定，结合项目具体情况，设定绩效指标如下表：</w:t>
      </w:r>
    </w:p>
    <w:tbl>
      <w:tblPr>
        <w:tblStyle w:val="14"/>
        <w:tblW w:w="5005" w:type="pct"/>
        <w:tblInd w:w="0" w:type="dxa"/>
        <w:shd w:val="clear" w:color="auto" w:fill="auto"/>
        <w:tblLayout w:type="autofit"/>
        <w:tblCellMar>
          <w:top w:w="0" w:type="dxa"/>
          <w:left w:w="0" w:type="dxa"/>
          <w:bottom w:w="0" w:type="dxa"/>
          <w:right w:w="0" w:type="dxa"/>
        </w:tblCellMar>
      </w:tblPr>
      <w:tblGrid>
        <w:gridCol w:w="2273"/>
        <w:gridCol w:w="2272"/>
        <w:gridCol w:w="2690"/>
        <w:gridCol w:w="1855"/>
      </w:tblGrid>
      <w:tr>
        <w:tblPrEx>
          <w:shd w:val="clear" w:color="auto" w:fill="auto"/>
          <w:tblCellMar>
            <w:top w:w="0" w:type="dxa"/>
            <w:left w:w="0" w:type="dxa"/>
            <w:bottom w:w="0" w:type="dxa"/>
            <w:right w:w="0" w:type="dxa"/>
          </w:tblCellMar>
        </w:tblPrEx>
        <w:trPr>
          <w:trHeight w:val="400" w:hRule="atLeast"/>
          <w:tblHead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一级指标</w:t>
            </w: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二级指标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三级指标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年度指标值</w:t>
            </w:r>
          </w:p>
        </w:tc>
      </w:tr>
      <w:tr>
        <w:tblPrEx>
          <w:shd w:val="clear" w:color="auto" w:fill="auto"/>
        </w:tblPrEx>
        <w:trPr>
          <w:trHeight w:val="400" w:hRule="atLeast"/>
        </w:trPr>
        <w:tc>
          <w:tcPr>
            <w:tcW w:w="22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产出指标</w:t>
            </w:r>
          </w:p>
        </w:tc>
        <w:tc>
          <w:tcPr>
            <w:tcW w:w="227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数量指标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项目涉及乡镇数量（个）</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=29个</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补助蔬菜种苗总户数（户）</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=48000户</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附属配套设施建设（个）</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=2个</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质量指标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★种植作物成活率（≥**%）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≥85%</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olor w:val="000000"/>
                <w:sz w:val="18"/>
              </w:rPr>
            </w:pPr>
            <w:r>
              <w:rPr>
                <w:rFonts w:hint="eastAsia" w:ascii="宋体" w:hAnsi="宋体" w:eastAsia="宋体" w:cs="宋体"/>
                <w:color w:val="000000"/>
                <w:kern w:val="0"/>
                <w:sz w:val="20"/>
                <w:szCs w:val="20"/>
                <w:lang w:bidi="ar"/>
              </w:rPr>
              <w:t>质量指标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项目验收合格率（%）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=100%</w:t>
            </w:r>
          </w:p>
        </w:tc>
      </w:tr>
      <w:tr>
        <w:tblPrEx>
          <w:shd w:val="clear" w:color="auto" w:fill="auto"/>
          <w:tblCellMar>
            <w:top w:w="0" w:type="dxa"/>
            <w:left w:w="0" w:type="dxa"/>
            <w:bottom w:w="0" w:type="dxa"/>
            <w:right w:w="0" w:type="dxa"/>
          </w:tblCellMar>
        </w:tblPrEx>
        <w:trPr>
          <w:trHeight w:val="409"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时效指标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补助资金支付及时率（%）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=100%</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蔬菜种苗发放及时率（%）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项目开始时间（年/月）</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2022年6月</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项目完成时间（年/月）</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2022年10月</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restart"/>
            <w:tcBorders>
              <w:top w:val="single" w:color="000000" w:sz="4" w:space="0"/>
              <w:left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成本指标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温室大棚配套附属设施成本（万元）</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≤260万元</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olor w:val="000000"/>
                <w:sz w:val="18"/>
              </w:rP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蔬菜种植平均补助标准（**元/户）</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≤28.125元/户</w:t>
            </w:r>
          </w:p>
        </w:tc>
      </w:tr>
      <w:tr>
        <w:tblPrEx>
          <w:shd w:val="clear" w:color="auto" w:fill="auto"/>
          <w:tblCellMar>
            <w:top w:w="0" w:type="dxa"/>
            <w:left w:w="0" w:type="dxa"/>
            <w:bottom w:w="0" w:type="dxa"/>
            <w:right w:w="0" w:type="dxa"/>
          </w:tblCellMar>
        </w:tblPrEx>
        <w:trPr>
          <w:trHeight w:val="400" w:hRule="atLeast"/>
        </w:trPr>
        <w:tc>
          <w:tcPr>
            <w:tcW w:w="22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olor w:val="000000"/>
                <w:sz w:val="18"/>
              </w:rPr>
            </w:pPr>
            <w:r>
              <w:rPr>
                <w:rFonts w:hint="eastAsia" w:ascii="宋体" w:hAnsi="宋体" w:eastAsia="宋体" w:cs="宋体"/>
                <w:color w:val="000000"/>
                <w:kern w:val="0"/>
                <w:sz w:val="20"/>
                <w:szCs w:val="20"/>
                <w:lang w:bidi="ar"/>
              </w:rPr>
              <w:t>效益指标</w:t>
            </w: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经济效益指标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★★★带动增加脱贫人口全年总收入（≥**万元）</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≥240万元</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社会效益指标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★★★受益脱贫人口数（≥**人）</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≥192000人</w:t>
            </w:r>
          </w:p>
        </w:tc>
      </w:tr>
      <w:tr>
        <w:tblPrEx>
          <w:shd w:val="clear" w:color="auto" w:fill="auto"/>
          <w:tblCellMar>
            <w:top w:w="0" w:type="dxa"/>
            <w:left w:w="0" w:type="dxa"/>
            <w:bottom w:w="0" w:type="dxa"/>
            <w:right w:w="0" w:type="dxa"/>
          </w:tblCellMar>
        </w:tblPrEx>
        <w:trPr>
          <w:trHeight w:val="491"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可持续影响指标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促进特色种植业发展</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有效促进</w:t>
            </w:r>
          </w:p>
        </w:tc>
      </w:tr>
      <w:tr>
        <w:tblPrEx>
          <w:shd w:val="clear" w:color="auto" w:fill="auto"/>
          <w:tblCellMar>
            <w:top w:w="0" w:type="dxa"/>
            <w:left w:w="0" w:type="dxa"/>
            <w:bottom w:w="0" w:type="dxa"/>
            <w:right w:w="0" w:type="dxa"/>
          </w:tblCellMar>
        </w:tblPrEx>
        <w:trPr>
          <w:trHeight w:val="496" w:hRule="atLeast"/>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r>
              <w:rPr>
                <w:rFonts w:hint="eastAsia" w:ascii="宋体" w:hAnsi="宋体" w:eastAsia="宋体"/>
                <w:color w:val="000000"/>
                <w:sz w:val="18"/>
              </w:rPr>
              <w:t>满意度指标</w:t>
            </w: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服务对象满意度指标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受益脱贫人口满意度（≥**%）</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≥95%</w:t>
            </w:r>
          </w:p>
        </w:tc>
      </w:tr>
    </w:tbl>
    <w:p>
      <w:pPr>
        <w:pStyle w:val="24"/>
        <w:numPr>
          <w:ilvl w:val="1"/>
          <w:numId w:val="1"/>
        </w:numPr>
        <w:spacing w:before="120"/>
        <w:ind w:left="2" w:right="2" w:firstLine="643"/>
      </w:pPr>
      <w:r>
        <w:rPr>
          <w:rFonts w:hint="eastAsia"/>
        </w:rPr>
        <w:t>绩效自评工作开展情况</w:t>
      </w:r>
    </w:p>
    <w:p>
      <w:pPr>
        <w:pStyle w:val="26"/>
        <w:numPr>
          <w:ilvl w:val="2"/>
          <w:numId w:val="1"/>
        </w:numPr>
        <w:spacing w:before="120"/>
        <w:ind w:left="2" w:right="2" w:firstLine="643"/>
      </w:pPr>
      <w:r>
        <w:rPr>
          <w:rFonts w:hint="eastAsia"/>
        </w:rPr>
        <w:t>绩效自评工作开展范围</w:t>
      </w:r>
    </w:p>
    <w:p>
      <w:pPr>
        <w:pStyle w:val="47"/>
        <w:ind w:left="2" w:right="2" w:firstLine="640"/>
      </w:pPr>
      <w:r>
        <w:t>本次自评范围涵盖项目总体绩效目标、各项绩效指标完成情况以及预算执行情况。</w:t>
      </w:r>
    </w:p>
    <w:p>
      <w:pPr>
        <w:pStyle w:val="26"/>
        <w:numPr>
          <w:ilvl w:val="2"/>
          <w:numId w:val="1"/>
        </w:numPr>
        <w:spacing w:before="120"/>
        <w:ind w:left="2" w:right="2" w:firstLine="643"/>
      </w:pPr>
      <w:r>
        <w:rPr>
          <w:rFonts w:hint="eastAsia"/>
        </w:rPr>
        <w:t>绩效自评工作对象</w:t>
      </w:r>
    </w:p>
    <w:p>
      <w:pPr>
        <w:pStyle w:val="47"/>
        <w:ind w:left="2" w:right="2" w:firstLine="640"/>
      </w:pPr>
      <w:r>
        <w:t>本次绩效自评遵循《中央财政衔接推进乡村振兴补助资金管理办法》的通知（财农〔2021〕19号）、《新疆维吾尔自治区财政财政衔接推进乡村振兴补助资金管理办法》（新财规〔2021〕11号）、《自治区财政专项扶贫资金绩效管理操作指南》（新财预〔2019〕170号）等相关政策文件与规定，对莎车县戈壁产业园连栋大棚建设项目资金的使用管理、项目产出、综合效益等进行评价。</w:t>
      </w:r>
    </w:p>
    <w:p>
      <w:pPr>
        <w:pStyle w:val="26"/>
        <w:numPr>
          <w:ilvl w:val="2"/>
          <w:numId w:val="1"/>
        </w:numPr>
        <w:spacing w:before="120"/>
        <w:ind w:left="2" w:right="2" w:firstLine="643"/>
      </w:pPr>
      <w:r>
        <w:rPr>
          <w:rFonts w:hint="eastAsia"/>
        </w:rPr>
        <w:t>绩效自评工作时间</w:t>
      </w:r>
    </w:p>
    <w:p>
      <w:pPr>
        <w:pStyle w:val="47"/>
        <w:ind w:left="2" w:right="2" w:firstLine="640"/>
      </w:pPr>
      <w:r>
        <w:t>绩效自评工作时间是202</w:t>
      </w:r>
      <w:r>
        <w:rPr>
          <w:rFonts w:hint="eastAsia"/>
        </w:rPr>
        <w:t>2</w:t>
      </w:r>
      <w:r>
        <w:t>年11月至12月。</w:t>
      </w:r>
    </w:p>
    <w:p>
      <w:pPr>
        <w:pStyle w:val="26"/>
        <w:numPr>
          <w:ilvl w:val="2"/>
          <w:numId w:val="1"/>
        </w:numPr>
        <w:spacing w:before="120"/>
        <w:ind w:left="2" w:right="2" w:firstLine="643"/>
      </w:pPr>
      <w:r>
        <w:rPr>
          <w:rFonts w:hint="eastAsia"/>
        </w:rPr>
        <w:t>绩效自评工作方式</w:t>
      </w:r>
    </w:p>
    <w:p>
      <w:pPr>
        <w:pStyle w:val="28"/>
        <w:numPr>
          <w:ilvl w:val="3"/>
          <w:numId w:val="1"/>
        </w:numPr>
        <w:spacing w:before="120"/>
        <w:ind w:left="2" w:right="2" w:firstLine="643"/>
      </w:pPr>
      <w:r>
        <w:rPr>
          <w:rFonts w:hint="eastAsia"/>
        </w:rPr>
        <w:t>前期准备</w:t>
      </w:r>
    </w:p>
    <w:p>
      <w:pPr>
        <w:pStyle w:val="47"/>
        <w:ind w:left="2" w:right="2" w:firstLine="640"/>
      </w:pPr>
      <w:r>
        <w:t>202</w:t>
      </w:r>
      <w:r>
        <w:rPr>
          <w:rFonts w:hint="eastAsia"/>
        </w:rPr>
        <w:t>2</w:t>
      </w:r>
      <w:r>
        <w:t>年11月，认真学习相关要求与规定，成立绩效自评工作组，作为绩效自评工作具体实施机构。成员构成如下：</w:t>
      </w:r>
    </w:p>
    <w:p>
      <w:pPr>
        <w:pStyle w:val="47"/>
        <w:ind w:left="2" w:right="2" w:firstLine="640"/>
      </w:pPr>
      <w:r>
        <w:t>组 长：赵晓莉</w:t>
      </w:r>
    </w:p>
    <w:p>
      <w:pPr>
        <w:pStyle w:val="47"/>
        <w:ind w:left="2" w:right="2" w:firstLine="640"/>
      </w:pPr>
      <w:r>
        <w:t>副组长</w:t>
      </w:r>
      <w:r>
        <w:rPr>
          <w:rFonts w:hint="eastAsia"/>
        </w:rPr>
        <w:t>：王军红</w:t>
      </w:r>
    </w:p>
    <w:p>
      <w:pPr>
        <w:pStyle w:val="47"/>
        <w:ind w:left="2" w:right="2" w:firstLine="640"/>
      </w:pPr>
      <w:r>
        <w:t xml:space="preserve">成 员： </w:t>
      </w:r>
      <w:r>
        <w:rPr>
          <w:rFonts w:hint="eastAsia"/>
        </w:rPr>
        <w:t>姜海云、武斌、阿曼古力</w:t>
      </w:r>
    </w:p>
    <w:p>
      <w:pPr>
        <w:pStyle w:val="28"/>
        <w:numPr>
          <w:ilvl w:val="3"/>
          <w:numId w:val="1"/>
        </w:numPr>
        <w:spacing w:before="120"/>
        <w:ind w:left="2" w:right="2" w:firstLine="643"/>
      </w:pPr>
      <w:r>
        <w:rPr>
          <w:rFonts w:hint="eastAsia"/>
        </w:rPr>
        <w:t>组织实施</w:t>
      </w:r>
    </w:p>
    <w:p>
      <w:pPr>
        <w:pStyle w:val="47"/>
        <w:ind w:left="2" w:right="2" w:firstLine="640"/>
      </w:pPr>
      <w:r>
        <w:t>成立绩效自评工作组后，经评价组通过实地调研等方式，采用综合分析法对项目的决策、管理、绩效进行的综合评价分析。</w:t>
      </w:r>
    </w:p>
    <w:p>
      <w:pPr>
        <w:pStyle w:val="28"/>
        <w:numPr>
          <w:ilvl w:val="3"/>
          <w:numId w:val="1"/>
        </w:numPr>
        <w:spacing w:before="120"/>
        <w:ind w:left="2" w:right="2" w:firstLine="643"/>
      </w:pPr>
      <w:r>
        <w:rPr>
          <w:rFonts w:hint="eastAsia"/>
        </w:rPr>
        <w:t>分析评价。</w:t>
      </w:r>
    </w:p>
    <w:p>
      <w:pPr>
        <w:pStyle w:val="47"/>
        <w:ind w:left="2" w:right="2" w:firstLine="640"/>
      </w:pPr>
      <w:r>
        <w:t>首先按照指标体系进行定量、定性分析。其次开展量化打分、综合评价工作，形成初步评价结论。最后归纳整体项目情况与存在问题，撰写绩效自评报告。</w:t>
      </w:r>
    </w:p>
    <w:p>
      <w:pPr>
        <w:pStyle w:val="47"/>
        <w:ind w:left="2" w:right="2" w:firstLine="640"/>
      </w:pPr>
      <w:r>
        <w:t>（1）绩效自评指标体系</w:t>
      </w:r>
    </w:p>
    <w:p>
      <w:pPr>
        <w:pStyle w:val="47"/>
        <w:ind w:left="2" w:right="2" w:firstLine="640"/>
      </w:pPr>
      <w:r>
        <w:t>按照《自治区财政专项扶贫资金绩效管理操作指南》（新财预〔2019〕170号）文件要求，并根据项目各项指标重要程度确定二级指标的分值，并对核心指标赋予更高的权重。其中：数量指标</w:t>
      </w:r>
      <w:r>
        <w:rPr>
          <w:rFonts w:hint="eastAsia"/>
        </w:rPr>
        <w:t>15</w:t>
      </w:r>
      <w:r>
        <w:t>分、质量指标10分，时效指标</w:t>
      </w:r>
      <w:r>
        <w:rPr>
          <w:rFonts w:hint="eastAsia"/>
        </w:rPr>
        <w:t>15</w:t>
      </w:r>
      <w:r>
        <w:t>分、成本指标10分、经济效益指标</w:t>
      </w:r>
      <w:r>
        <w:rPr>
          <w:rFonts w:hint="eastAsia"/>
        </w:rPr>
        <w:t>8</w:t>
      </w:r>
      <w:r>
        <w:t>分、社会效益指标</w:t>
      </w:r>
      <w:r>
        <w:rPr>
          <w:rFonts w:hint="eastAsia"/>
        </w:rPr>
        <w:t>15</w:t>
      </w:r>
      <w:r>
        <w:t>分、可持续影响指标7分、满意度指标10分、预算资金执行率10分，满分100分。</w:t>
      </w:r>
    </w:p>
    <w:p>
      <w:pPr>
        <w:pStyle w:val="47"/>
        <w:ind w:left="2" w:right="2" w:firstLine="640"/>
      </w:pPr>
      <w:r>
        <w:t>（2）绩效自评方法</w:t>
      </w:r>
    </w:p>
    <w:p>
      <w:pPr>
        <w:pStyle w:val="47"/>
        <w:ind w:left="2" w:right="2" w:firstLine="640"/>
      </w:pPr>
      <w:r>
        <w:t>本次绩效自评采用比较法和综合分析法对项目资金的使用管理、项目产出、综合效益等进行评价。</w:t>
      </w:r>
    </w:p>
    <w:p>
      <w:pPr>
        <w:pStyle w:val="47"/>
        <w:ind w:left="2" w:right="2" w:firstLine="640"/>
      </w:pPr>
      <w:r>
        <w:t>（3）绩效自评标准</w:t>
      </w:r>
    </w:p>
    <w:p>
      <w:pPr>
        <w:pStyle w:val="47"/>
        <w:ind w:left="2" w:right="2" w:firstLine="640"/>
      </w:pPr>
      <w: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47"/>
        <w:ind w:left="2" w:right="2" w:firstLine="640"/>
      </w:pPr>
      <w:r>
        <w:t>（4）绩效自评等级</w:t>
      </w:r>
    </w:p>
    <w:p>
      <w:pPr>
        <w:pStyle w:val="47"/>
        <w:ind w:left="2" w:right="2" w:firstLine="640"/>
      </w:pPr>
      <w:r>
        <w:t>绩效自评总分值100分，根据评分结果，90（含）-100分为优、80（含）-90分为良、60（含）-80分为中、60分以下为差。</w:t>
      </w:r>
    </w:p>
    <w:p>
      <w:pPr>
        <w:pStyle w:val="24"/>
        <w:numPr>
          <w:ilvl w:val="1"/>
          <w:numId w:val="1"/>
        </w:numPr>
        <w:spacing w:before="120"/>
        <w:ind w:left="2" w:right="2" w:firstLine="643"/>
      </w:pPr>
      <w:r>
        <w:rPr>
          <w:rFonts w:hint="eastAsia"/>
        </w:rPr>
        <w:t>绩效目标自评完成情况分析</w:t>
      </w:r>
    </w:p>
    <w:p>
      <w:pPr>
        <w:pStyle w:val="26"/>
        <w:numPr>
          <w:ilvl w:val="2"/>
          <w:numId w:val="1"/>
        </w:numPr>
        <w:spacing w:before="120"/>
        <w:ind w:left="2" w:right="2" w:firstLine="643"/>
      </w:pPr>
      <w:r>
        <w:rPr>
          <w:rFonts w:hint="eastAsia"/>
        </w:rPr>
        <w:t>资金投入情况分析</w:t>
      </w:r>
    </w:p>
    <w:p>
      <w:pPr>
        <w:pStyle w:val="28"/>
        <w:numPr>
          <w:ilvl w:val="3"/>
          <w:numId w:val="1"/>
        </w:numPr>
        <w:spacing w:before="120"/>
        <w:ind w:left="2" w:right="2" w:firstLine="643"/>
      </w:pPr>
      <w:r>
        <w:rPr>
          <w:rFonts w:hint="eastAsia"/>
        </w:rPr>
        <w:t>项目资金到位情况分析</w:t>
      </w:r>
    </w:p>
    <w:p>
      <w:pPr>
        <w:pStyle w:val="47"/>
        <w:ind w:left="2" w:right="2" w:firstLine="640"/>
      </w:pPr>
      <w:r>
        <w:t>本项目预算安排资金为</w:t>
      </w:r>
      <w:r>
        <w:rPr>
          <w:rFonts w:hint="eastAsia"/>
        </w:rPr>
        <w:t>395万元</w:t>
      </w:r>
      <w:r>
        <w:t>，实际到位资金</w:t>
      </w:r>
      <w:r>
        <w:rPr>
          <w:rFonts w:hint="eastAsia"/>
        </w:rPr>
        <w:t>395万元</w:t>
      </w:r>
      <w:r>
        <w:t>，预算资金到位率100%。</w:t>
      </w:r>
    </w:p>
    <w:p>
      <w:pPr>
        <w:pStyle w:val="28"/>
        <w:numPr>
          <w:ilvl w:val="3"/>
          <w:numId w:val="1"/>
        </w:numPr>
        <w:spacing w:before="120"/>
        <w:ind w:left="2" w:right="2" w:firstLine="643"/>
      </w:pPr>
      <w:r>
        <w:rPr>
          <w:rFonts w:hint="eastAsia"/>
        </w:rPr>
        <w:t>项目资金执行情况分析</w:t>
      </w:r>
    </w:p>
    <w:p>
      <w:pPr>
        <w:pStyle w:val="47"/>
        <w:ind w:left="2" w:right="2" w:firstLine="640"/>
      </w:pPr>
      <w:r>
        <w:t>本项目实际支付资金392.8</w:t>
      </w:r>
      <w:r>
        <w:rPr>
          <w:rFonts w:hint="eastAsia"/>
        </w:rPr>
        <w:t>3万元</w:t>
      </w:r>
      <w:r>
        <w:t>，预算执行率99.</w:t>
      </w:r>
      <w:r>
        <w:rPr>
          <w:rFonts w:hint="eastAsia"/>
        </w:rPr>
        <w:t>45</w:t>
      </w:r>
      <w:r>
        <w:t>%。本项目资金主要用于建设连栋大棚，</w:t>
      </w:r>
      <w:r>
        <w:rPr>
          <w:rFonts w:hint="eastAsia"/>
        </w:rPr>
        <w:t>剩余资金为暂未支付的保补偿费、审计费</w:t>
      </w:r>
      <w:r>
        <w:t>。</w:t>
      </w:r>
    </w:p>
    <w:p>
      <w:pPr>
        <w:pStyle w:val="47"/>
        <w:ind w:left="2" w:right="2" w:firstLine="640"/>
      </w:pPr>
      <w:r>
        <w:t>预算资金执行情况总分</w:t>
      </w:r>
      <w:r>
        <w:rPr>
          <w:rFonts w:hint="eastAsia"/>
        </w:rPr>
        <w:t>10</w:t>
      </w:r>
      <w:r>
        <w:t>分，得</w:t>
      </w:r>
      <w:r>
        <w:rPr>
          <w:rFonts w:hint="eastAsia"/>
        </w:rPr>
        <w:t>9.94</w:t>
      </w:r>
      <w:r>
        <w:t>分。</w:t>
      </w:r>
    </w:p>
    <w:p>
      <w:pPr>
        <w:pStyle w:val="28"/>
        <w:numPr>
          <w:ilvl w:val="3"/>
          <w:numId w:val="1"/>
        </w:numPr>
        <w:spacing w:before="120"/>
        <w:ind w:left="2" w:right="2" w:firstLine="643"/>
      </w:pPr>
      <w:r>
        <w:rPr>
          <w:rFonts w:hint="eastAsia"/>
        </w:rPr>
        <w:t>项目资金管理情况分析</w:t>
      </w:r>
    </w:p>
    <w:p>
      <w:pPr>
        <w:pStyle w:val="47"/>
        <w:ind w:left="2" w:right="2" w:firstLine="640"/>
      </w:pPr>
      <w:r>
        <w:t>项目资金使用和管理按照关于印发《中央财政衔接推进乡村振兴补助资金管理办法》的通知（财农〔2021〕19号）、《新疆维吾尔自治区财政财政衔接推进乡村振兴补助资金管理办法》（新财规〔2021〕11号等相关文件要求。项目实施单位依据项目计划，提出支付申请并提供相关真实、合规的证明材料，制定资金使用计划，经审核后按照国库集中支付管理制度的规定和程序及时支付资金。资金的拨付过程有完整的审批程序和手续，不存在截留、挤占、挪用等情况。</w:t>
      </w:r>
    </w:p>
    <w:p>
      <w:pPr>
        <w:pStyle w:val="26"/>
        <w:numPr>
          <w:ilvl w:val="2"/>
          <w:numId w:val="1"/>
        </w:numPr>
        <w:spacing w:before="120"/>
        <w:ind w:left="2" w:right="2" w:firstLine="643"/>
      </w:pPr>
      <w:r>
        <w:rPr>
          <w:rFonts w:hint="eastAsia"/>
        </w:rPr>
        <w:t>绩效目标完成情况分析</w:t>
      </w:r>
    </w:p>
    <w:p>
      <w:pPr>
        <w:pStyle w:val="47"/>
        <w:ind w:left="2" w:right="2" w:firstLine="640"/>
      </w:pPr>
      <w:r>
        <w:t>本项目</w:t>
      </w:r>
      <w:r>
        <w:rPr>
          <w:rFonts w:hint="eastAsia"/>
        </w:rPr>
        <w:t>2022年</w:t>
      </w:r>
      <w:r>
        <w:t>已完成</w:t>
      </w:r>
      <w:r>
        <w:rPr>
          <w:rFonts w:hint="eastAsia"/>
        </w:rPr>
        <w:t>为温室大棚配套电力设施（160kw变压器）1台及相关附属设施，为孜热甫夏提乡12村新建温室大棚并配套附属设施；完成对全县29个乡镇、管委会的48000户脱贫户及脱贫不稳定户、边缘易致贫户和突发严重困难户发展庭院种植给予蔬菜种苗补助每户28.125元。项目开始时间2022年6月，项目完成时间2022年10月。项目实施后带动增加了192000位受益脱贫人口总收入达到240万元，受益脱贫人口满意度达到了95%。</w:t>
      </w:r>
    </w:p>
    <w:p>
      <w:pPr>
        <w:pStyle w:val="47"/>
        <w:ind w:left="2" w:right="2" w:firstLine="640"/>
      </w:pPr>
      <w:r>
        <w:t>本项目共设置一级指标3个，二级指标8个，三级指标</w:t>
      </w:r>
      <w:r>
        <w:rPr>
          <w:rFonts w:hint="eastAsia"/>
        </w:rPr>
        <w:t>15</w:t>
      </w:r>
      <w:r>
        <w:t>个。</w:t>
      </w:r>
    </w:p>
    <w:p>
      <w:pPr>
        <w:pStyle w:val="28"/>
        <w:numPr>
          <w:ilvl w:val="3"/>
          <w:numId w:val="1"/>
        </w:numPr>
        <w:spacing w:before="120"/>
        <w:ind w:left="2" w:right="2" w:firstLine="643"/>
      </w:pPr>
      <w:r>
        <w:rPr>
          <w:rFonts w:hint="eastAsia"/>
        </w:rPr>
        <w:t>产出指标完成情况分析</w:t>
      </w:r>
    </w:p>
    <w:p>
      <w:pPr>
        <w:pStyle w:val="47"/>
        <w:ind w:left="2" w:right="2" w:firstLine="640"/>
      </w:pPr>
      <w:r>
        <w:t>1.1项目完成数量</w:t>
      </w:r>
    </w:p>
    <w:p>
      <w:pPr>
        <w:pStyle w:val="47"/>
        <w:ind w:left="2" w:right="2" w:firstLine="640"/>
      </w:pPr>
      <w:r>
        <w:t>（1）</w:t>
      </w:r>
      <w:r>
        <w:rPr>
          <w:rFonts w:hint="eastAsia"/>
        </w:rPr>
        <w:t>项目涉及乡镇数量（个）</w:t>
      </w:r>
      <w:r>
        <w:t>，年度计划指标值：</w:t>
      </w:r>
      <w:r>
        <w:rPr>
          <w:rFonts w:hint="eastAsia"/>
        </w:rPr>
        <w:t>等于29个</w:t>
      </w:r>
      <w:r>
        <w:t>，全年实际完成值：</w:t>
      </w:r>
      <w:r>
        <w:rPr>
          <w:rFonts w:hint="eastAsia"/>
        </w:rPr>
        <w:t>29个</w:t>
      </w:r>
      <w:r>
        <w:t>，指标完成率为100%。所设分值为</w:t>
      </w:r>
      <w:r>
        <w:rPr>
          <w:rFonts w:hint="eastAsia"/>
        </w:rPr>
        <w:t>5</w:t>
      </w:r>
      <w:r>
        <w:t>分，实际得分为</w:t>
      </w:r>
      <w:r>
        <w:rPr>
          <w:rFonts w:hint="eastAsia"/>
        </w:rPr>
        <w:t>5</w:t>
      </w:r>
      <w:r>
        <w:t>分。</w:t>
      </w:r>
    </w:p>
    <w:p>
      <w:pPr>
        <w:pStyle w:val="47"/>
        <w:ind w:left="2" w:right="2" w:firstLine="640"/>
      </w:pPr>
      <w:r>
        <w:t>（</w:t>
      </w:r>
      <w:r>
        <w:rPr>
          <w:rFonts w:hint="eastAsia"/>
        </w:rPr>
        <w:t>2</w:t>
      </w:r>
      <w:r>
        <w:t>）</w:t>
      </w:r>
      <w:r>
        <w:rPr>
          <w:rFonts w:hint="eastAsia"/>
        </w:rPr>
        <w:t>补助蔬菜种苗总户数（户）</w:t>
      </w:r>
      <w:r>
        <w:t>，年度计划指标值：</w:t>
      </w:r>
      <w:r>
        <w:rPr>
          <w:rFonts w:hint="eastAsia"/>
        </w:rPr>
        <w:t>等于48000户</w:t>
      </w:r>
      <w:r>
        <w:t>，全年实际完成值：</w:t>
      </w:r>
      <w:r>
        <w:rPr>
          <w:rFonts w:hint="eastAsia"/>
        </w:rPr>
        <w:t>48000户</w:t>
      </w:r>
      <w:r>
        <w:t>，指标完成率为100%。所设分值为</w:t>
      </w:r>
      <w:r>
        <w:rPr>
          <w:rFonts w:hint="eastAsia"/>
        </w:rPr>
        <w:t>5</w:t>
      </w:r>
      <w:r>
        <w:t>分，实际得分为</w:t>
      </w:r>
      <w:r>
        <w:rPr>
          <w:rFonts w:hint="eastAsia"/>
        </w:rPr>
        <w:t>5</w:t>
      </w:r>
      <w:r>
        <w:t>分。</w:t>
      </w:r>
    </w:p>
    <w:p>
      <w:pPr>
        <w:pStyle w:val="47"/>
        <w:ind w:left="2" w:right="2" w:firstLine="640"/>
      </w:pPr>
      <w:r>
        <w:rPr>
          <w:rFonts w:hint="eastAsia"/>
        </w:rPr>
        <w:t>（3）附属配套设施建设（个）</w:t>
      </w:r>
      <w:r>
        <w:t>，年度计划指标值：</w:t>
      </w:r>
      <w:r>
        <w:rPr>
          <w:rFonts w:hint="eastAsia"/>
        </w:rPr>
        <w:t>等于2个</w:t>
      </w:r>
      <w:r>
        <w:t>，全年实际完成值：</w:t>
      </w:r>
      <w:r>
        <w:rPr>
          <w:rFonts w:hint="eastAsia"/>
        </w:rPr>
        <w:t>2个</w:t>
      </w:r>
      <w:r>
        <w:t>，指标完成率为100%。所设分值为</w:t>
      </w:r>
      <w:r>
        <w:rPr>
          <w:rFonts w:hint="eastAsia"/>
        </w:rPr>
        <w:t>5</w:t>
      </w:r>
      <w:r>
        <w:t>分，实际得分为</w:t>
      </w:r>
      <w:r>
        <w:rPr>
          <w:rFonts w:hint="eastAsia"/>
        </w:rPr>
        <w:t>5</w:t>
      </w:r>
      <w:r>
        <w:t>分。</w:t>
      </w:r>
    </w:p>
    <w:p>
      <w:pPr>
        <w:pStyle w:val="47"/>
        <w:ind w:left="2" w:right="2" w:firstLine="640"/>
      </w:pPr>
      <w:r>
        <w:t>该指标依据莎车县农业产业建设项目实施方案设置，依据建设工程施工合同、项目验收单得出实际完成情况。</w:t>
      </w:r>
    </w:p>
    <w:p>
      <w:pPr>
        <w:pStyle w:val="47"/>
        <w:ind w:left="2" w:right="2" w:firstLine="640"/>
      </w:pPr>
      <w:r>
        <w:t>1.2项目完成质量</w:t>
      </w:r>
    </w:p>
    <w:p>
      <w:pPr>
        <w:pStyle w:val="47"/>
        <w:ind w:left="2" w:right="2" w:firstLine="640"/>
      </w:pPr>
      <w:r>
        <w:rPr>
          <w:rFonts w:hint="eastAsia"/>
        </w:rPr>
        <w:t>（1）种植作物成活率（%）</w:t>
      </w:r>
      <w:r>
        <w:t>，年度计划指标值：</w:t>
      </w:r>
      <w:r>
        <w:rPr>
          <w:rFonts w:hint="eastAsia"/>
        </w:rPr>
        <w:t>大于等于</w:t>
      </w:r>
      <w:r>
        <w:t>85%，全年实际完成值：85%，指标完成率为100%。所设分值为</w:t>
      </w:r>
      <w:r>
        <w:rPr>
          <w:rFonts w:hint="eastAsia"/>
        </w:rPr>
        <w:t>5</w:t>
      </w:r>
      <w:r>
        <w:t>分，实际得分为</w:t>
      </w:r>
      <w:r>
        <w:rPr>
          <w:rFonts w:hint="eastAsia"/>
        </w:rPr>
        <w:t>5</w:t>
      </w:r>
      <w:r>
        <w:t>分。</w:t>
      </w:r>
    </w:p>
    <w:p>
      <w:pPr>
        <w:pStyle w:val="47"/>
        <w:ind w:left="2" w:right="2" w:firstLine="640"/>
      </w:pPr>
      <w:r>
        <w:rPr>
          <w:rFonts w:hint="eastAsia"/>
        </w:rPr>
        <w:t>（2）</w:t>
      </w:r>
      <w:r>
        <w:t>项目验收合格率</w:t>
      </w:r>
      <w:r>
        <w:rPr>
          <w:rFonts w:hint="eastAsia"/>
        </w:rPr>
        <w:t>（%）</w:t>
      </w:r>
      <w:r>
        <w:t>，年度计划指标值：</w:t>
      </w:r>
      <w:r>
        <w:rPr>
          <w:rFonts w:hint="eastAsia"/>
        </w:rPr>
        <w:t>等于</w:t>
      </w:r>
      <w:r>
        <w:t>100%，全年实际完成值：100%，指标完成率为100%。所设分值为</w:t>
      </w:r>
      <w:r>
        <w:rPr>
          <w:rFonts w:hint="eastAsia"/>
        </w:rPr>
        <w:t>5</w:t>
      </w:r>
      <w:r>
        <w:t>分，实际得分为</w:t>
      </w:r>
      <w:r>
        <w:rPr>
          <w:rFonts w:hint="eastAsia"/>
        </w:rPr>
        <w:t>5</w:t>
      </w:r>
      <w:r>
        <w:t>分。</w:t>
      </w:r>
    </w:p>
    <w:p>
      <w:pPr>
        <w:pStyle w:val="47"/>
        <w:ind w:left="2" w:right="2" w:firstLine="640"/>
      </w:pPr>
      <w:r>
        <w:t>该指标依据莎车县农业产业建设项目实施方案设置，依据建设工程施工合同、</w:t>
      </w:r>
      <w:r>
        <w:rPr>
          <w:rFonts w:hint="eastAsia"/>
        </w:rPr>
        <w:t>采购合同、</w:t>
      </w:r>
      <w:r>
        <w:t>项目验收单得出实际完成情况。</w:t>
      </w:r>
    </w:p>
    <w:p>
      <w:pPr>
        <w:pStyle w:val="47"/>
        <w:ind w:left="2" w:right="2" w:firstLine="640"/>
      </w:pPr>
      <w:r>
        <w:t>1.3项目完成时效</w:t>
      </w:r>
    </w:p>
    <w:p>
      <w:pPr>
        <w:pStyle w:val="47"/>
        <w:ind w:left="2" w:right="2" w:firstLine="640"/>
      </w:pPr>
      <w:r>
        <w:t>（1）项目</w:t>
      </w:r>
      <w:r>
        <w:rPr>
          <w:rFonts w:hint="eastAsia"/>
        </w:rPr>
        <w:t>开始</w:t>
      </w:r>
      <w:r>
        <w:t>时间（年/月），年度计划指标值：202</w:t>
      </w:r>
      <w:r>
        <w:rPr>
          <w:rFonts w:hint="eastAsia"/>
        </w:rPr>
        <w:t>2</w:t>
      </w:r>
      <w:r>
        <w:t>年</w:t>
      </w:r>
      <w:r>
        <w:rPr>
          <w:rFonts w:hint="eastAsia"/>
          <w:lang w:val="en-US" w:eastAsia="zh-CN"/>
        </w:rPr>
        <w:t>7</w:t>
      </w:r>
      <w:r>
        <w:t>月</w:t>
      </w:r>
      <w:r>
        <w:rPr>
          <w:rFonts w:hint="eastAsia"/>
        </w:rPr>
        <w:t>，</w:t>
      </w:r>
      <w:r>
        <w:t>全年实际完成值：202</w:t>
      </w:r>
      <w:r>
        <w:rPr>
          <w:rFonts w:hint="eastAsia"/>
        </w:rPr>
        <w:t>2</w:t>
      </w:r>
      <w:r>
        <w:t>年</w:t>
      </w:r>
      <w:r>
        <w:rPr>
          <w:rFonts w:hint="eastAsia"/>
          <w:lang w:val="en-US" w:eastAsia="zh-CN"/>
        </w:rPr>
        <w:t>7</w:t>
      </w:r>
      <w:r>
        <w:t>月。所设分值为</w:t>
      </w:r>
      <w:r>
        <w:rPr>
          <w:rFonts w:hint="eastAsia"/>
        </w:rPr>
        <w:t>3</w:t>
      </w:r>
      <w:r>
        <w:t>分，实际得分为</w:t>
      </w:r>
      <w:r>
        <w:rPr>
          <w:rFonts w:hint="eastAsia"/>
        </w:rPr>
        <w:t>3</w:t>
      </w:r>
      <w:r>
        <w:t>分。</w:t>
      </w:r>
    </w:p>
    <w:p>
      <w:pPr>
        <w:pStyle w:val="47"/>
        <w:ind w:left="2" w:right="2" w:firstLine="640"/>
      </w:pPr>
      <w:r>
        <w:t>（</w:t>
      </w:r>
      <w:r>
        <w:rPr>
          <w:rFonts w:hint="eastAsia"/>
        </w:rPr>
        <w:t>2</w:t>
      </w:r>
      <w:r>
        <w:t>）项目</w:t>
      </w:r>
      <w:r>
        <w:rPr>
          <w:rFonts w:hint="eastAsia"/>
        </w:rPr>
        <w:t>完工</w:t>
      </w:r>
      <w:r>
        <w:t>时间（年/月），年度计划指标值：202</w:t>
      </w:r>
      <w:r>
        <w:rPr>
          <w:rFonts w:hint="eastAsia"/>
        </w:rPr>
        <w:t>2</w:t>
      </w:r>
      <w:r>
        <w:t>年</w:t>
      </w:r>
      <w:r>
        <w:rPr>
          <w:rFonts w:hint="eastAsia"/>
        </w:rPr>
        <w:t>10</w:t>
      </w:r>
      <w:r>
        <w:t>月</w:t>
      </w:r>
      <w:r>
        <w:rPr>
          <w:rFonts w:hint="eastAsia"/>
        </w:rPr>
        <w:t>，</w:t>
      </w:r>
      <w:r>
        <w:t>全年实际完成值：202</w:t>
      </w:r>
      <w:r>
        <w:rPr>
          <w:rFonts w:hint="eastAsia"/>
        </w:rPr>
        <w:t>2</w:t>
      </w:r>
      <w:r>
        <w:t>年</w:t>
      </w:r>
      <w:r>
        <w:rPr>
          <w:rFonts w:hint="eastAsia"/>
        </w:rPr>
        <w:t>10</w:t>
      </w:r>
      <w:r>
        <w:t>月。所设分值为</w:t>
      </w:r>
      <w:r>
        <w:rPr>
          <w:rFonts w:hint="eastAsia"/>
        </w:rPr>
        <w:t>3</w:t>
      </w:r>
      <w:r>
        <w:t>分，实际得分为</w:t>
      </w:r>
      <w:r>
        <w:rPr>
          <w:rFonts w:hint="eastAsia"/>
        </w:rPr>
        <w:t>3</w:t>
      </w:r>
      <w:r>
        <w:t>分。</w:t>
      </w:r>
    </w:p>
    <w:p>
      <w:pPr>
        <w:pStyle w:val="47"/>
        <w:ind w:left="2" w:right="2" w:firstLine="640"/>
      </w:pPr>
      <w:r>
        <w:t>（3）</w:t>
      </w:r>
      <w:r>
        <w:rPr>
          <w:rFonts w:hint="eastAsia"/>
        </w:rPr>
        <w:t>补助资金支付及时率（%）</w:t>
      </w:r>
      <w:r>
        <w:t>，年度计划指标值：</w:t>
      </w:r>
      <w:r>
        <w:rPr>
          <w:rFonts w:hint="eastAsia"/>
        </w:rPr>
        <w:t>等于</w:t>
      </w:r>
      <w:r>
        <w:t>100%，全年实际完成值：</w:t>
      </w:r>
      <w:r>
        <w:rPr>
          <w:rFonts w:hint="eastAsia"/>
        </w:rPr>
        <w:t>100</w:t>
      </w:r>
      <w:r>
        <w:t>%。所设分值为</w:t>
      </w:r>
      <w:r>
        <w:rPr>
          <w:rFonts w:hint="eastAsia"/>
        </w:rPr>
        <w:t>4</w:t>
      </w:r>
      <w:r>
        <w:t>分，实际得分为</w:t>
      </w:r>
      <w:r>
        <w:rPr>
          <w:rFonts w:hint="eastAsia"/>
        </w:rPr>
        <w:t>4</w:t>
      </w:r>
      <w:r>
        <w:t>分。</w:t>
      </w:r>
    </w:p>
    <w:p>
      <w:pPr>
        <w:pStyle w:val="47"/>
        <w:ind w:left="2" w:right="2" w:firstLine="640"/>
      </w:pPr>
      <w:r>
        <w:rPr>
          <w:rFonts w:hint="eastAsia"/>
        </w:rPr>
        <w:t>（4）蔬菜种苗发放及时率（%）</w:t>
      </w:r>
      <w:r>
        <w:t>，年度计划指标值：</w:t>
      </w:r>
      <w:r>
        <w:rPr>
          <w:rFonts w:hint="eastAsia"/>
        </w:rPr>
        <w:t>等于</w:t>
      </w:r>
      <w:r>
        <w:t>100%，全年实际完成值：</w:t>
      </w:r>
      <w:r>
        <w:rPr>
          <w:rFonts w:hint="eastAsia"/>
        </w:rPr>
        <w:t>100</w:t>
      </w:r>
      <w:r>
        <w:t>%，指标完成率为100%。所设分值为</w:t>
      </w:r>
      <w:r>
        <w:rPr>
          <w:rFonts w:hint="eastAsia"/>
        </w:rPr>
        <w:t>5</w:t>
      </w:r>
      <w:r>
        <w:t>分，实际得分为</w:t>
      </w:r>
      <w:r>
        <w:rPr>
          <w:rFonts w:hint="eastAsia"/>
        </w:rPr>
        <w:t>5</w:t>
      </w:r>
      <w:r>
        <w:t>分。</w:t>
      </w:r>
    </w:p>
    <w:p>
      <w:pPr>
        <w:pStyle w:val="47"/>
        <w:ind w:left="2" w:right="2" w:firstLine="640"/>
      </w:pPr>
      <w:r>
        <w:t>该指标依据莎车县农业产业建设项目实施方案设置，依据《项目资金支付台账》、《财务记账凭证及附件》、建设工程施工合同、</w:t>
      </w:r>
      <w:r>
        <w:rPr>
          <w:rFonts w:hint="eastAsia"/>
        </w:rPr>
        <w:t>采购合同、</w:t>
      </w:r>
      <w:r>
        <w:t>项目验收单得出实际完成情况。</w:t>
      </w:r>
    </w:p>
    <w:p>
      <w:pPr>
        <w:pStyle w:val="47"/>
        <w:ind w:left="2" w:right="2" w:firstLine="640"/>
      </w:pPr>
      <w:r>
        <w:t>1.4项目成本节约情况</w:t>
      </w:r>
    </w:p>
    <w:p>
      <w:pPr>
        <w:pStyle w:val="47"/>
        <w:ind w:left="2" w:right="2" w:firstLine="640"/>
      </w:pPr>
      <w:r>
        <w:rPr>
          <w:rFonts w:hint="eastAsia"/>
        </w:rPr>
        <w:t>（1）温室大棚配套附属设施成本（万元）</w:t>
      </w:r>
      <w:r>
        <w:t>，年度计划指标值：</w:t>
      </w:r>
      <w:r>
        <w:rPr>
          <w:rFonts w:hint="eastAsia"/>
        </w:rPr>
        <w:t>小于等于260万元</w:t>
      </w:r>
      <w:r>
        <w:t>，全年实际完成值：</w:t>
      </w:r>
      <w:r>
        <w:rPr>
          <w:rFonts w:hint="eastAsia"/>
        </w:rPr>
        <w:t>234.74万元</w:t>
      </w:r>
      <w:r>
        <w:t>，指标完成率为</w:t>
      </w:r>
      <w:r>
        <w:rPr>
          <w:rFonts w:hint="eastAsia"/>
          <w:lang w:val="en-US" w:eastAsia="zh-CN"/>
        </w:rPr>
        <w:t>90.28</w:t>
      </w:r>
      <w:r>
        <w:t>%。</w:t>
      </w:r>
      <w:r>
        <w:rPr>
          <w:rFonts w:hint="eastAsia"/>
        </w:rPr>
        <w:t>偏差原因：该项目正在进行审计，待审计结算后进行支付。改进措施：加快完成结算审计工作，审计完成支付剩余资金。</w:t>
      </w:r>
      <w:r>
        <w:t>所设分值为</w:t>
      </w:r>
      <w:r>
        <w:rPr>
          <w:rFonts w:hint="eastAsia"/>
        </w:rPr>
        <w:t>5</w:t>
      </w:r>
      <w:r>
        <w:t>分，实际得分为</w:t>
      </w:r>
      <w:r>
        <w:rPr>
          <w:rFonts w:hint="eastAsia"/>
          <w:lang w:val="en-US" w:eastAsia="zh-CN"/>
        </w:rPr>
        <w:t>4.1</w:t>
      </w:r>
      <w:r>
        <w:rPr>
          <w:rFonts w:hint="eastAsia"/>
        </w:rPr>
        <w:t>5</w:t>
      </w:r>
      <w:r>
        <w:t>分。</w:t>
      </w:r>
    </w:p>
    <w:p>
      <w:pPr>
        <w:pStyle w:val="47"/>
        <w:ind w:left="2" w:right="2" w:firstLine="640"/>
      </w:pPr>
      <w:r>
        <w:rPr>
          <w:rFonts w:hint="eastAsia"/>
        </w:rPr>
        <w:t>（2）蔬菜种植平均补助标准（元/户）</w:t>
      </w:r>
      <w:r>
        <w:t>，年度计划指标值：</w:t>
      </w:r>
      <w:r>
        <w:rPr>
          <w:rFonts w:hint="eastAsia"/>
        </w:rPr>
        <w:t>小于等于28.125元/户</w:t>
      </w:r>
      <w:r>
        <w:t>，全年实际完成值：</w:t>
      </w:r>
      <w:r>
        <w:rPr>
          <w:rFonts w:hint="eastAsia"/>
        </w:rPr>
        <w:t>28.125元/户</w:t>
      </w:r>
      <w:r>
        <w:t>，指标完成率为100%。所设分值为</w:t>
      </w:r>
      <w:r>
        <w:rPr>
          <w:rFonts w:hint="eastAsia"/>
        </w:rPr>
        <w:t>5</w:t>
      </w:r>
      <w:r>
        <w:t>分，实际得分为</w:t>
      </w:r>
      <w:r>
        <w:rPr>
          <w:rFonts w:hint="eastAsia"/>
        </w:rPr>
        <w:t>5</w:t>
      </w:r>
      <w:r>
        <w:t>分</w:t>
      </w:r>
      <w:r>
        <w:rPr>
          <w:rFonts w:hint="eastAsia"/>
        </w:rPr>
        <w:t>。</w:t>
      </w:r>
    </w:p>
    <w:p>
      <w:pPr>
        <w:pStyle w:val="47"/>
        <w:ind w:left="2" w:right="2" w:firstLine="640"/>
      </w:pPr>
      <w:r>
        <w:t>该指标依据莎车县农业产业建设项目实施方案</w:t>
      </w:r>
      <w:bookmarkStart w:id="0" w:name="_GoBack"/>
      <w:bookmarkEnd w:id="0"/>
      <w:r>
        <w:t>设置，依据《项目资金支付台账》、《财务记账凭证及附件》得出实际完成情况。</w:t>
      </w:r>
    </w:p>
    <w:p>
      <w:pPr>
        <w:pStyle w:val="47"/>
        <w:ind w:left="2" w:right="2" w:firstLine="640"/>
      </w:pPr>
      <w:r>
        <w:t>产出指标总分</w:t>
      </w:r>
      <w:r>
        <w:rPr>
          <w:rFonts w:hint="eastAsia"/>
        </w:rPr>
        <w:t>50</w:t>
      </w:r>
      <w:r>
        <w:t>分，合计得分</w:t>
      </w:r>
      <w:r>
        <w:rPr>
          <w:rFonts w:hint="eastAsia"/>
          <w:lang w:val="en-US" w:eastAsia="zh-CN"/>
        </w:rPr>
        <w:t>49.15</w:t>
      </w:r>
      <w:r>
        <w:t>分。</w:t>
      </w:r>
    </w:p>
    <w:p>
      <w:pPr>
        <w:pStyle w:val="28"/>
        <w:numPr>
          <w:ilvl w:val="3"/>
          <w:numId w:val="1"/>
        </w:numPr>
        <w:spacing w:before="120"/>
        <w:ind w:left="2" w:right="2" w:firstLine="643"/>
      </w:pPr>
      <w:r>
        <w:rPr>
          <w:rFonts w:hint="eastAsia"/>
        </w:rPr>
        <w:t>效益指标完成情况分析</w:t>
      </w:r>
    </w:p>
    <w:p>
      <w:pPr>
        <w:pStyle w:val="47"/>
        <w:ind w:left="2" w:right="2" w:firstLine="640"/>
      </w:pPr>
      <w:r>
        <w:t>2.1项目实施的经济效益分析</w:t>
      </w:r>
    </w:p>
    <w:p>
      <w:pPr>
        <w:pStyle w:val="47"/>
        <w:ind w:left="2" w:right="2" w:firstLine="640"/>
      </w:pPr>
      <w:r>
        <w:rPr>
          <w:rFonts w:hint="eastAsia"/>
        </w:rPr>
        <w:t>带动增加脱贫人口全年总收入</w:t>
      </w:r>
      <w:r>
        <w:t>（万元），年度计划指标值：</w:t>
      </w:r>
      <w:r>
        <w:rPr>
          <w:rFonts w:hint="eastAsia"/>
        </w:rPr>
        <w:t>大于等于240万元</w:t>
      </w:r>
      <w:r>
        <w:t>，全年实际完成值：</w:t>
      </w:r>
      <w:r>
        <w:rPr>
          <w:rFonts w:hint="eastAsia"/>
        </w:rPr>
        <w:t>240万元</w:t>
      </w:r>
      <w:r>
        <w:t>，指标完成率为</w:t>
      </w:r>
      <w:r>
        <w:rPr>
          <w:rFonts w:hint="eastAsia"/>
        </w:rPr>
        <w:t>10</w:t>
      </w:r>
      <w:r>
        <w:t>0%。所设分值为</w:t>
      </w:r>
      <w:r>
        <w:rPr>
          <w:rFonts w:hint="eastAsia"/>
        </w:rPr>
        <w:t>8</w:t>
      </w:r>
      <w:r>
        <w:t>分，实际得分为</w:t>
      </w:r>
      <w:r>
        <w:rPr>
          <w:rFonts w:hint="eastAsia"/>
        </w:rPr>
        <w:t>8</w:t>
      </w:r>
      <w:r>
        <w:t>分。</w:t>
      </w:r>
    </w:p>
    <w:p>
      <w:pPr>
        <w:pStyle w:val="47"/>
        <w:ind w:left="2" w:right="2" w:firstLine="640"/>
      </w:pPr>
      <w:r>
        <w:t>2.2项目实施的社会效益分析</w:t>
      </w:r>
    </w:p>
    <w:p>
      <w:pPr>
        <w:pStyle w:val="47"/>
        <w:ind w:left="2" w:right="2" w:firstLine="640"/>
      </w:pPr>
      <w:r>
        <w:t>受益脱贫人口数（人），年度计划指标值：</w:t>
      </w:r>
      <w:r>
        <w:rPr>
          <w:rFonts w:hint="eastAsia"/>
        </w:rPr>
        <w:t>大于等于192000人</w:t>
      </w:r>
      <w:r>
        <w:t>，全年实际完成值：</w:t>
      </w:r>
      <w:r>
        <w:rPr>
          <w:rFonts w:hint="eastAsia"/>
        </w:rPr>
        <w:t>192000人</w:t>
      </w:r>
      <w:r>
        <w:t>，指标完成率100%。所设分值为</w:t>
      </w:r>
      <w:r>
        <w:rPr>
          <w:rFonts w:hint="eastAsia"/>
        </w:rPr>
        <w:t>15</w:t>
      </w:r>
      <w:r>
        <w:t>分，实际得分为</w:t>
      </w:r>
      <w:r>
        <w:rPr>
          <w:rFonts w:hint="eastAsia"/>
        </w:rPr>
        <w:t>15</w:t>
      </w:r>
      <w:r>
        <w:t>分。</w:t>
      </w:r>
    </w:p>
    <w:p>
      <w:pPr>
        <w:pStyle w:val="47"/>
        <w:ind w:left="2" w:right="2" w:firstLine="640"/>
      </w:pPr>
      <w:r>
        <w:t>2.3项目实施的可持续影响分析</w:t>
      </w:r>
    </w:p>
    <w:p>
      <w:pPr>
        <w:pStyle w:val="47"/>
        <w:ind w:left="2" w:right="2" w:firstLine="640"/>
      </w:pPr>
      <w:r>
        <w:rPr>
          <w:rFonts w:hint="eastAsia"/>
        </w:rPr>
        <w:t>促进特色种植业发展</w:t>
      </w:r>
      <w:r>
        <w:t>，年度计划指标值：</w:t>
      </w:r>
      <w:r>
        <w:rPr>
          <w:rFonts w:hint="eastAsia"/>
        </w:rPr>
        <w:t>有效促进</w:t>
      </w:r>
      <w:r>
        <w:t>，全年实际完成值：</w:t>
      </w:r>
      <w:r>
        <w:rPr>
          <w:rFonts w:hint="eastAsia"/>
        </w:rPr>
        <w:t>有效促进</w:t>
      </w:r>
      <w:r>
        <w:t>，指标完成率为100%。所设分值为7分，实际得分为7分。</w:t>
      </w:r>
    </w:p>
    <w:p>
      <w:pPr>
        <w:pStyle w:val="47"/>
        <w:ind w:left="2" w:right="2" w:firstLine="640"/>
      </w:pPr>
      <w:r>
        <w:t>效益指标总分30分，合计得分</w:t>
      </w:r>
      <w:r>
        <w:rPr>
          <w:rFonts w:hint="eastAsia"/>
        </w:rPr>
        <w:t>30</w:t>
      </w:r>
      <w:r>
        <w:t>分。</w:t>
      </w:r>
    </w:p>
    <w:p>
      <w:pPr>
        <w:pStyle w:val="28"/>
        <w:numPr>
          <w:ilvl w:val="3"/>
          <w:numId w:val="1"/>
        </w:numPr>
        <w:spacing w:before="120"/>
        <w:ind w:left="2" w:right="2" w:firstLine="643"/>
      </w:pPr>
      <w:r>
        <w:rPr>
          <w:rFonts w:hint="eastAsia"/>
        </w:rPr>
        <w:t>满意度指标完成情况分析</w:t>
      </w:r>
    </w:p>
    <w:p>
      <w:pPr>
        <w:pStyle w:val="47"/>
        <w:ind w:left="2" w:right="2" w:firstLine="640"/>
      </w:pPr>
      <w:r>
        <w:t>满意度指标，依据项目实际受益对象情况，设定指标受益脱贫人口满意度</w:t>
      </w:r>
      <w:r>
        <w:rPr>
          <w:rFonts w:hint="eastAsia"/>
        </w:rPr>
        <w:t>大于等于</w:t>
      </w:r>
      <w:r>
        <w:t>95%</w:t>
      </w:r>
      <w:r>
        <w:rPr>
          <w:rFonts w:hint="eastAsia"/>
        </w:rPr>
        <w:t>，</w:t>
      </w:r>
      <w:r>
        <w:t>依据《项目满意度调查问卷》，反映出受益脱贫人口满意度达到</w:t>
      </w:r>
      <w:r>
        <w:rPr>
          <w:rFonts w:hint="eastAsia"/>
        </w:rPr>
        <w:t>95</w:t>
      </w:r>
      <w:r>
        <w:t>%。所设分值为10分，实际得分为10分。</w:t>
      </w:r>
    </w:p>
    <w:p>
      <w:pPr>
        <w:pStyle w:val="47"/>
        <w:ind w:left="2" w:right="2" w:firstLine="640"/>
      </w:pPr>
      <w:r>
        <w:t>满意度指标总分10分，合计得分10分。</w:t>
      </w:r>
    </w:p>
    <w:p>
      <w:pPr>
        <w:pStyle w:val="24"/>
        <w:numPr>
          <w:ilvl w:val="1"/>
          <w:numId w:val="1"/>
        </w:numPr>
        <w:spacing w:before="120"/>
        <w:ind w:left="2" w:right="2" w:firstLine="643"/>
      </w:pPr>
      <w:r>
        <w:rPr>
          <w:rFonts w:hint="eastAsia"/>
        </w:rPr>
        <w:t>偏离绩效目标的原因和下一步改进措施</w:t>
      </w:r>
    </w:p>
    <w:p>
      <w:pPr>
        <w:pStyle w:val="47"/>
        <w:ind w:left="2" w:right="2" w:firstLine="640"/>
        <w:rPr>
          <w:rFonts w:hint="eastAsia" w:eastAsia="方正仿宋_GBK"/>
          <w:lang w:eastAsia="zh-CN"/>
        </w:rPr>
      </w:pPr>
      <w:r>
        <w:t>本项目未完成三级指标1个</w:t>
      </w:r>
      <w:r>
        <w:rPr>
          <w:rFonts w:hint="eastAsia"/>
          <w:lang w:eastAsia="zh-CN"/>
        </w:rPr>
        <w:t>。</w:t>
      </w:r>
    </w:p>
    <w:p>
      <w:pPr>
        <w:pStyle w:val="26"/>
        <w:numPr>
          <w:ilvl w:val="2"/>
          <w:numId w:val="2"/>
        </w:numPr>
        <w:spacing w:before="120"/>
        <w:ind w:left="2" w:right="2" w:firstLine="643"/>
      </w:pPr>
      <w:r>
        <w:rPr>
          <w:rFonts w:hint="eastAsia"/>
        </w:rPr>
        <w:t>偏离绩效目标的原因</w:t>
      </w:r>
    </w:p>
    <w:p>
      <w:pPr>
        <w:pStyle w:val="47"/>
        <w:ind w:left="2" w:right="2" w:firstLine="640"/>
      </w:pPr>
      <w:r>
        <w:rPr>
          <w:rFonts w:hint="eastAsia"/>
        </w:rPr>
        <w:t>温室大棚配套附属设施成本（万元）</w:t>
      </w:r>
      <w:r>
        <w:t>年度指标设置为</w:t>
      </w:r>
      <w:r>
        <w:rPr>
          <w:rFonts w:hint="eastAsia"/>
          <w:color w:val="auto"/>
          <w:lang w:val="en-US" w:eastAsia="zh-CN"/>
        </w:rPr>
        <w:t>小</w:t>
      </w:r>
      <w:r>
        <w:rPr>
          <w:rFonts w:hint="eastAsia"/>
          <w:color w:val="auto"/>
        </w:rPr>
        <w:t>于等于</w:t>
      </w:r>
      <w:r>
        <w:rPr>
          <w:rFonts w:hint="eastAsia"/>
        </w:rPr>
        <w:t>260万元</w:t>
      </w:r>
      <w:r>
        <w:t>，全年实际完成值：</w:t>
      </w:r>
      <w:r>
        <w:rPr>
          <w:rFonts w:hint="eastAsia"/>
        </w:rPr>
        <w:t>234.74万元</w:t>
      </w:r>
      <w:r>
        <w:t>，指标完成率为</w:t>
      </w:r>
      <w:r>
        <w:rPr>
          <w:rFonts w:hint="eastAsia"/>
        </w:rPr>
        <w:t>90.28</w:t>
      </w:r>
      <w:r>
        <w:t>%。</w:t>
      </w:r>
      <w:r>
        <w:rPr>
          <w:rFonts w:hint="eastAsia"/>
        </w:rPr>
        <w:t>偏差原因</w:t>
      </w:r>
      <w:r>
        <w:rPr>
          <w:rFonts w:hint="eastAsia"/>
          <w:lang w:val="en-US" w:eastAsia="zh-CN"/>
        </w:rPr>
        <w:t>是</w:t>
      </w:r>
      <w:r>
        <w:rPr>
          <w:rFonts w:hint="eastAsia"/>
        </w:rPr>
        <w:t>该项目正在进行审计，待审计结算后进行支付。</w:t>
      </w:r>
    </w:p>
    <w:p>
      <w:pPr>
        <w:pStyle w:val="26"/>
        <w:numPr>
          <w:ilvl w:val="2"/>
          <w:numId w:val="2"/>
        </w:numPr>
        <w:spacing w:before="120"/>
        <w:ind w:left="2" w:right="2" w:firstLine="643"/>
      </w:pPr>
      <w:r>
        <w:rPr>
          <w:rFonts w:hint="eastAsia"/>
        </w:rPr>
        <w:t>下一步改进措施</w:t>
      </w:r>
    </w:p>
    <w:p>
      <w:pPr>
        <w:pStyle w:val="47"/>
        <w:ind w:left="2" w:right="2" w:firstLine="640"/>
      </w:pPr>
      <w:r>
        <w:t>针对未达成的</w:t>
      </w:r>
      <w:r>
        <w:rPr>
          <w:rFonts w:hint="eastAsia"/>
          <w:lang w:val="en-US" w:eastAsia="zh-CN"/>
        </w:rPr>
        <w:t>成本</w:t>
      </w:r>
      <w:r>
        <w:t>指标，改进措施是</w:t>
      </w:r>
      <w:r>
        <w:rPr>
          <w:rFonts w:hint="eastAsia"/>
        </w:rPr>
        <w:t>加快完成结算审计工作，审计完成支付剩余资金。</w:t>
      </w:r>
    </w:p>
    <w:p>
      <w:pPr>
        <w:pStyle w:val="24"/>
        <w:numPr>
          <w:ilvl w:val="1"/>
          <w:numId w:val="1"/>
        </w:numPr>
        <w:spacing w:before="120"/>
        <w:ind w:left="2" w:right="2" w:firstLine="643"/>
      </w:pPr>
      <w:r>
        <w:rPr>
          <w:rFonts w:hint="eastAsia"/>
        </w:rPr>
        <w:t>绩效自评结果拟应用和公开情况</w:t>
      </w:r>
    </w:p>
    <w:p>
      <w:pPr>
        <w:pStyle w:val="47"/>
        <w:ind w:left="2" w:right="2" w:firstLine="640"/>
      </w:pPr>
      <w:r>
        <w:t>项目组通过数据采集、问卷调查及访谈等方式，按照项目组论证通过的自评评分标准，对莎车县农业产业建设项目整体进行客观、科学、合理评价。经综合评价，项目最终得分为：</w:t>
      </w:r>
      <w:r>
        <w:rPr>
          <w:rFonts w:hint="eastAsia"/>
        </w:rPr>
        <w:t>99.94</w:t>
      </w:r>
      <w:r>
        <w:t>分，评价等级为优。</w:t>
      </w:r>
    </w:p>
    <w:p>
      <w:pPr>
        <w:pStyle w:val="26"/>
        <w:numPr>
          <w:ilvl w:val="2"/>
          <w:numId w:val="1"/>
        </w:numPr>
        <w:spacing w:before="120"/>
        <w:ind w:left="2" w:right="2" w:firstLine="643"/>
      </w:pPr>
      <w:r>
        <w:rPr>
          <w:rFonts w:hint="eastAsia"/>
        </w:rPr>
        <w:t>绩效自评结果拟应用情况</w:t>
      </w:r>
    </w:p>
    <w:p>
      <w:pPr>
        <w:pStyle w:val="47"/>
        <w:ind w:left="2" w:right="2" w:firstLine="640"/>
      </w:pPr>
      <w:r>
        <w:t>本项目在实施过程中，严格按照关于印发《中央财政衔接推进乡村振兴补助资金管理办法》的通知（财农〔2021〕19号）及实施方案进行实施。本项目绩效自评结果将作为决策和分配财政资金的重要参考依据。对绩效自评发现的问题认真整改，总结经验、改进管理，不断提高项目实施水平。</w:t>
      </w:r>
    </w:p>
    <w:p>
      <w:pPr>
        <w:pStyle w:val="26"/>
        <w:numPr>
          <w:ilvl w:val="2"/>
          <w:numId w:val="1"/>
        </w:numPr>
        <w:spacing w:before="120"/>
        <w:ind w:left="2" w:right="2" w:firstLine="643"/>
      </w:pPr>
      <w:r>
        <w:rPr>
          <w:rFonts w:hint="eastAsia"/>
        </w:rPr>
        <w:t>项目绩效公告公示情况</w:t>
      </w:r>
    </w:p>
    <w:p>
      <w:pPr>
        <w:pStyle w:val="47"/>
        <w:ind w:left="2" w:right="2" w:firstLine="640"/>
      </w:pPr>
      <w:r>
        <w:rPr>
          <w:color w:val="auto"/>
        </w:rPr>
        <w:t>按照《国务院办公厅关于印发2017年政务公开工作要点的通知》（国办发〔2017〕24号）、《新疆维吾尔自治区财政衔接推进乡村振兴补助资金管理办法》（新财规〔2021〕11号）文件要求，项目相关信息通过莎车县人民政府网（http://shache.xinjiang.gov.cn/）进行公示公开，接受社会监督</w:t>
      </w:r>
      <w:r>
        <w:rPr>
          <w:rFonts w:hint="eastAsia"/>
        </w:rPr>
        <w:t>。</w:t>
      </w:r>
    </w:p>
    <w:sectPr>
      <w:pgSz w:w="11906" w:h="16838"/>
      <w:pgMar w:top="1985" w:right="1134" w:bottom="1134" w:left="1701" w:header="737" w:footer="73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D0DAD"/>
    <w:multiLevelType w:val="multilevel"/>
    <w:tmpl w:val="7CDD0DAD"/>
    <w:lvl w:ilvl="0" w:tentative="0">
      <w:start w:val="1"/>
      <w:numFmt w:val="decimal"/>
      <w:suff w:val="nothing"/>
      <w:lvlText w:val=""/>
      <w:lvlJc w:val="left"/>
      <w:pPr>
        <w:ind w:left="0" w:firstLine="0"/>
      </w:pPr>
    </w:lvl>
    <w:lvl w:ilvl="1" w:tentative="0">
      <w:start w:val="1"/>
      <w:numFmt w:val="chineseCountingThousand"/>
      <w:suff w:val="nothing"/>
      <w:lvlText w:val="%2、"/>
      <w:lvlJc w:val="left"/>
      <w:pPr>
        <w:ind w:left="0" w:firstLine="0"/>
      </w:pPr>
    </w:lvl>
    <w:lvl w:ilvl="2" w:tentative="0">
      <w:start w:val="1"/>
      <w:numFmt w:val="chineseCountingThousand"/>
      <w:suff w:val="nothing"/>
      <w:lvlText w:val="(%3)"/>
      <w:lvlJc w:val="left"/>
      <w:pPr>
        <w:ind w:left="0" w:firstLine="0"/>
      </w:pPr>
    </w:lvl>
    <w:lvl w:ilvl="3" w:tentative="0">
      <w:start w:val="1"/>
      <w:numFmt w:val="decimal"/>
      <w:suff w:val="nothing"/>
      <w:lvlText w:val="%4．"/>
      <w:lvlJc w:val="left"/>
      <w:pPr>
        <w:ind w:left="0" w:firstLine="0"/>
      </w:pPr>
    </w:lvl>
    <w:lvl w:ilvl="4" w:tentative="0">
      <w:start w:val="1"/>
      <w:numFmt w:val="decimal"/>
      <w:suff w:val="nothing"/>
      <w:lvlText w:val="（%5）"/>
      <w:lvlJc w:val="left"/>
      <w:pPr>
        <w:ind w:left="0" w:firstLine="0"/>
      </w:pPr>
    </w:lvl>
    <w:lvl w:ilvl="5" w:tentative="0">
      <w:start w:val="1"/>
      <w:numFmt w:val="decimal"/>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4"/>
  </w:compat>
  <w:docVars>
    <w:docVar w:name="commondata" w:val="eyJoZGlkIjoiZWE4MDdjNTA2NzgxNmUyMjdmNTVjNWE3NzZiNzIzNzQifQ=="/>
  </w:docVars>
  <w:rsids>
    <w:rsidRoot w:val="0075705B"/>
    <w:rsid w:val="000528A9"/>
    <w:rsid w:val="000C530D"/>
    <w:rsid w:val="000C5865"/>
    <w:rsid w:val="00100EC9"/>
    <w:rsid w:val="001115E2"/>
    <w:rsid w:val="0013196B"/>
    <w:rsid w:val="00140780"/>
    <w:rsid w:val="00165A67"/>
    <w:rsid w:val="001A0776"/>
    <w:rsid w:val="001A28CF"/>
    <w:rsid w:val="001E1002"/>
    <w:rsid w:val="001F1933"/>
    <w:rsid w:val="00215CD3"/>
    <w:rsid w:val="0021739E"/>
    <w:rsid w:val="00242228"/>
    <w:rsid w:val="00243C09"/>
    <w:rsid w:val="002549D0"/>
    <w:rsid w:val="0026201E"/>
    <w:rsid w:val="00276CF2"/>
    <w:rsid w:val="00290249"/>
    <w:rsid w:val="00293D65"/>
    <w:rsid w:val="002D2B4E"/>
    <w:rsid w:val="00311362"/>
    <w:rsid w:val="003129C2"/>
    <w:rsid w:val="0035513E"/>
    <w:rsid w:val="00385002"/>
    <w:rsid w:val="00390FEB"/>
    <w:rsid w:val="00394F1A"/>
    <w:rsid w:val="003A6FE3"/>
    <w:rsid w:val="003B3309"/>
    <w:rsid w:val="003D5643"/>
    <w:rsid w:val="003D7E76"/>
    <w:rsid w:val="00400912"/>
    <w:rsid w:val="00433E0F"/>
    <w:rsid w:val="004479BE"/>
    <w:rsid w:val="00486B5B"/>
    <w:rsid w:val="00487440"/>
    <w:rsid w:val="004A5E4C"/>
    <w:rsid w:val="004E7D00"/>
    <w:rsid w:val="004F1312"/>
    <w:rsid w:val="004F5125"/>
    <w:rsid w:val="0055717A"/>
    <w:rsid w:val="00690C4A"/>
    <w:rsid w:val="006B3808"/>
    <w:rsid w:val="006B6696"/>
    <w:rsid w:val="007006A8"/>
    <w:rsid w:val="00701222"/>
    <w:rsid w:val="0072061D"/>
    <w:rsid w:val="00756C84"/>
    <w:rsid w:val="0075705B"/>
    <w:rsid w:val="007730FD"/>
    <w:rsid w:val="00793205"/>
    <w:rsid w:val="007A66B0"/>
    <w:rsid w:val="007D2F64"/>
    <w:rsid w:val="00812ABB"/>
    <w:rsid w:val="00836069"/>
    <w:rsid w:val="00850BB5"/>
    <w:rsid w:val="00861CB2"/>
    <w:rsid w:val="00864557"/>
    <w:rsid w:val="00881B56"/>
    <w:rsid w:val="008B0322"/>
    <w:rsid w:val="008B1EFA"/>
    <w:rsid w:val="008D2DFE"/>
    <w:rsid w:val="008F6CC2"/>
    <w:rsid w:val="009146B1"/>
    <w:rsid w:val="00924F2E"/>
    <w:rsid w:val="00926C58"/>
    <w:rsid w:val="00980A1D"/>
    <w:rsid w:val="00994825"/>
    <w:rsid w:val="009A0EFC"/>
    <w:rsid w:val="009A1E04"/>
    <w:rsid w:val="00A10E5A"/>
    <w:rsid w:val="00A247C4"/>
    <w:rsid w:val="00A52FA0"/>
    <w:rsid w:val="00A865A2"/>
    <w:rsid w:val="00AF5802"/>
    <w:rsid w:val="00B9090A"/>
    <w:rsid w:val="00BC4F9B"/>
    <w:rsid w:val="00BE78F1"/>
    <w:rsid w:val="00C26EA2"/>
    <w:rsid w:val="00C43EDD"/>
    <w:rsid w:val="00C63A00"/>
    <w:rsid w:val="00C76DFA"/>
    <w:rsid w:val="00C85E17"/>
    <w:rsid w:val="00CA1E21"/>
    <w:rsid w:val="00CC4B98"/>
    <w:rsid w:val="00CC7784"/>
    <w:rsid w:val="00CF09AC"/>
    <w:rsid w:val="00CF0D2A"/>
    <w:rsid w:val="00D056FB"/>
    <w:rsid w:val="00D12E22"/>
    <w:rsid w:val="00D23922"/>
    <w:rsid w:val="00DB13B2"/>
    <w:rsid w:val="00DC28A4"/>
    <w:rsid w:val="00DC361E"/>
    <w:rsid w:val="00E11378"/>
    <w:rsid w:val="00E25E9A"/>
    <w:rsid w:val="00E31586"/>
    <w:rsid w:val="00E651FE"/>
    <w:rsid w:val="00E73A57"/>
    <w:rsid w:val="00E771EF"/>
    <w:rsid w:val="00EB5068"/>
    <w:rsid w:val="00EC0095"/>
    <w:rsid w:val="00F50FB4"/>
    <w:rsid w:val="00F7662A"/>
    <w:rsid w:val="00F80D8F"/>
    <w:rsid w:val="00FB7898"/>
    <w:rsid w:val="00FF3FD5"/>
    <w:rsid w:val="0E497542"/>
    <w:rsid w:val="174B615D"/>
    <w:rsid w:val="19AC5AD4"/>
    <w:rsid w:val="1B513FB7"/>
    <w:rsid w:val="1BCA303C"/>
    <w:rsid w:val="1D7630E5"/>
    <w:rsid w:val="1DEE7367"/>
    <w:rsid w:val="25230CAF"/>
    <w:rsid w:val="27121074"/>
    <w:rsid w:val="2E167667"/>
    <w:rsid w:val="3352514D"/>
    <w:rsid w:val="39640326"/>
    <w:rsid w:val="3EC70BF6"/>
    <w:rsid w:val="45F5304C"/>
    <w:rsid w:val="51E90E1F"/>
    <w:rsid w:val="57613FDC"/>
    <w:rsid w:val="5F4F4055"/>
    <w:rsid w:val="6ABE009D"/>
    <w:rsid w:val="72071742"/>
    <w:rsid w:val="73F17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6" w:lineRule="auto"/>
      <w:outlineLvl w:val="0"/>
    </w:pPr>
    <w:rPr>
      <w:rFonts w:cs="宋体"/>
      <w:b/>
      <w:bCs/>
      <w:kern w:val="44"/>
      <w:sz w:val="44"/>
      <w:szCs w:val="44"/>
    </w:rPr>
  </w:style>
  <w:style w:type="paragraph" w:styleId="3">
    <w:name w:val="heading 2"/>
    <w:basedOn w:val="1"/>
    <w:next w:val="1"/>
    <w:link w:val="17"/>
    <w:qFormat/>
    <w:uiPriority w:val="9"/>
    <w:pPr>
      <w:keepNext/>
      <w:keepLines/>
      <w:spacing w:before="260" w:after="260" w:line="415" w:lineRule="auto"/>
      <w:outlineLvl w:val="1"/>
    </w:pPr>
    <w:rPr>
      <w:rFonts w:asciiTheme="majorHAnsi" w:hAnsiTheme="majorHAnsi" w:eastAsiaTheme="majorEastAsia" w:cstheme="majorBidi"/>
      <w:b/>
      <w:bCs/>
      <w:sz w:val="32"/>
      <w:szCs w:val="32"/>
    </w:rPr>
  </w:style>
  <w:style w:type="paragraph" w:styleId="4">
    <w:name w:val="heading 3"/>
    <w:basedOn w:val="1"/>
    <w:next w:val="1"/>
    <w:link w:val="18"/>
    <w:qFormat/>
    <w:uiPriority w:val="9"/>
    <w:pPr>
      <w:keepNext/>
      <w:keepLines/>
      <w:spacing w:before="260" w:after="260" w:line="415" w:lineRule="auto"/>
      <w:outlineLvl w:val="2"/>
    </w:pPr>
    <w:rPr>
      <w:rFonts w:cs="宋体"/>
      <w:b/>
      <w:bCs/>
      <w:sz w:val="32"/>
      <w:szCs w:val="32"/>
    </w:rPr>
  </w:style>
  <w:style w:type="paragraph" w:styleId="5">
    <w:name w:val="heading 4"/>
    <w:basedOn w:val="1"/>
    <w:next w:val="1"/>
    <w:link w:val="19"/>
    <w:qFormat/>
    <w:uiPriority w:val="9"/>
    <w:pPr>
      <w:keepNext/>
      <w:keepLines/>
      <w:spacing w:before="280" w:after="290" w:line="374" w:lineRule="auto"/>
      <w:outlineLvl w:val="3"/>
    </w:pPr>
    <w:rPr>
      <w:rFonts w:asciiTheme="majorHAnsi" w:hAnsiTheme="majorHAnsi" w:eastAsiaTheme="majorEastAsia" w:cstheme="majorBidi"/>
      <w:b/>
      <w:bCs/>
      <w:sz w:val="28"/>
      <w:szCs w:val="28"/>
    </w:rPr>
  </w:style>
  <w:style w:type="paragraph" w:styleId="6">
    <w:name w:val="heading 5"/>
    <w:basedOn w:val="1"/>
    <w:next w:val="1"/>
    <w:link w:val="20"/>
    <w:qFormat/>
    <w:uiPriority w:val="9"/>
    <w:pPr>
      <w:keepNext/>
      <w:keepLines/>
      <w:spacing w:before="280" w:after="290" w:line="374" w:lineRule="auto"/>
      <w:outlineLvl w:val="4"/>
    </w:pPr>
    <w:rPr>
      <w:rFonts w:cs="宋体"/>
      <w:b/>
      <w:bCs/>
      <w:sz w:val="28"/>
      <w:szCs w:val="28"/>
    </w:rPr>
  </w:style>
  <w:style w:type="paragraph" w:styleId="7">
    <w:name w:val="heading 6"/>
    <w:basedOn w:val="1"/>
    <w:next w:val="1"/>
    <w:link w:val="31"/>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7"/>
    <w:qFormat/>
    <w:uiPriority w:val="9"/>
    <w:pPr>
      <w:keepNext/>
      <w:keepLines/>
      <w:spacing w:before="240" w:after="64" w:line="320" w:lineRule="auto"/>
      <w:outlineLvl w:val="6"/>
    </w:pPr>
    <w:rPr>
      <w:b/>
      <w:bCs/>
      <w:sz w:val="24"/>
      <w:szCs w:val="24"/>
    </w:rPr>
  </w:style>
  <w:style w:type="paragraph" w:styleId="9">
    <w:name w:val="heading 8"/>
    <w:basedOn w:val="1"/>
    <w:next w:val="1"/>
    <w:link w:val="58"/>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59"/>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61"/>
    <w:unhideWhenUsed/>
    <w:qFormat/>
    <w:uiPriority w:val="99"/>
    <w:pPr>
      <w:tabs>
        <w:tab w:val="center" w:pos="4153"/>
        <w:tab w:val="right" w:pos="8306"/>
      </w:tabs>
      <w:snapToGrid w:val="0"/>
      <w:jc w:val="left"/>
    </w:pPr>
    <w:rPr>
      <w:sz w:val="18"/>
      <w:szCs w:val="18"/>
    </w:rPr>
  </w:style>
  <w:style w:type="paragraph" w:styleId="12">
    <w:name w:val="header"/>
    <w:basedOn w:val="1"/>
    <w:link w:val="60"/>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6">
    <w:name w:val="标题 1 字符"/>
    <w:basedOn w:val="15"/>
    <w:link w:val="2"/>
    <w:qFormat/>
    <w:locked/>
    <w:uiPriority w:val="9"/>
    <w:rPr>
      <w:b/>
      <w:bCs/>
      <w:kern w:val="44"/>
      <w:sz w:val="44"/>
      <w:szCs w:val="44"/>
    </w:rPr>
  </w:style>
  <w:style w:type="character" w:customStyle="1" w:styleId="17">
    <w:name w:val="标题 2 字符"/>
    <w:basedOn w:val="15"/>
    <w:link w:val="3"/>
    <w:semiHidden/>
    <w:qFormat/>
    <w:locked/>
    <w:uiPriority w:val="9"/>
    <w:rPr>
      <w:rFonts w:hint="eastAsia" w:asciiTheme="majorHAnsi" w:hAnsiTheme="majorHAnsi" w:eastAsiaTheme="majorEastAsia" w:cstheme="majorBidi"/>
      <w:b/>
      <w:bCs/>
      <w:sz w:val="32"/>
      <w:szCs w:val="32"/>
    </w:rPr>
  </w:style>
  <w:style w:type="character" w:customStyle="1" w:styleId="18">
    <w:name w:val="标题 3 字符"/>
    <w:basedOn w:val="15"/>
    <w:link w:val="4"/>
    <w:semiHidden/>
    <w:qFormat/>
    <w:locked/>
    <w:uiPriority w:val="9"/>
    <w:rPr>
      <w:b/>
      <w:bCs/>
      <w:sz w:val="32"/>
      <w:szCs w:val="32"/>
    </w:rPr>
  </w:style>
  <w:style w:type="character" w:customStyle="1" w:styleId="19">
    <w:name w:val="标题 4 字符"/>
    <w:basedOn w:val="15"/>
    <w:link w:val="5"/>
    <w:semiHidden/>
    <w:qFormat/>
    <w:locked/>
    <w:uiPriority w:val="9"/>
    <w:rPr>
      <w:rFonts w:hint="eastAsia" w:asciiTheme="majorHAnsi" w:hAnsiTheme="majorHAnsi" w:eastAsiaTheme="majorEastAsia" w:cstheme="majorBidi"/>
      <w:b/>
      <w:bCs/>
      <w:sz w:val="28"/>
      <w:szCs w:val="28"/>
    </w:rPr>
  </w:style>
  <w:style w:type="character" w:customStyle="1" w:styleId="20">
    <w:name w:val="标题 5 字符"/>
    <w:basedOn w:val="15"/>
    <w:link w:val="6"/>
    <w:semiHidden/>
    <w:qFormat/>
    <w:locked/>
    <w:uiPriority w:val="9"/>
    <w:rPr>
      <w:b/>
      <w:bCs/>
      <w:sz w:val="28"/>
      <w:szCs w:val="28"/>
    </w:rPr>
  </w:style>
  <w:style w:type="character" w:customStyle="1" w:styleId="21">
    <w:name w:val="FZ标题1 字符"/>
    <w:basedOn w:val="15"/>
    <w:link w:val="22"/>
    <w:qFormat/>
    <w:locked/>
    <w:uiPriority w:val="0"/>
    <w:rPr>
      <w:rFonts w:hint="eastAsia" w:ascii="宋体" w:hAnsi="宋体" w:eastAsia="宋体"/>
      <w:b/>
      <w:color w:val="000000"/>
      <w:sz w:val="32"/>
    </w:rPr>
  </w:style>
  <w:style w:type="paragraph" w:customStyle="1" w:styleId="22">
    <w:name w:val="FZ标题1"/>
    <w:basedOn w:val="2"/>
    <w:link w:val="21"/>
    <w:qFormat/>
    <w:uiPriority w:val="0"/>
    <w:pPr>
      <w:keepNext w:val="0"/>
      <w:keepLines w:val="0"/>
      <w:snapToGrid w:val="0"/>
      <w:spacing w:before="0" w:after="0" w:line="360" w:lineRule="auto"/>
      <w:ind w:left="1" w:leftChars="1" w:right="1" w:rightChars="1" w:firstLine="1" w:firstLineChars="1"/>
      <w:jc w:val="center"/>
    </w:pPr>
    <w:rPr>
      <w:rFonts w:ascii="宋体" w:hAnsi="宋体" w:eastAsia="宋体" w:cstheme="minorBidi"/>
      <w:bCs w:val="0"/>
      <w:color w:val="000000"/>
      <w:kern w:val="2"/>
      <w:sz w:val="32"/>
      <w:szCs w:val="22"/>
    </w:rPr>
  </w:style>
  <w:style w:type="character" w:customStyle="1" w:styleId="23">
    <w:name w:val="FZ标题2 字符"/>
    <w:basedOn w:val="15"/>
    <w:link w:val="24"/>
    <w:qFormat/>
    <w:locked/>
    <w:uiPriority w:val="0"/>
    <w:rPr>
      <w:rFonts w:eastAsia="方正黑体_GBK"/>
      <w:b/>
      <w:bCs/>
      <w:color w:val="000000"/>
      <w:kern w:val="2"/>
      <w:sz w:val="32"/>
      <w:szCs w:val="44"/>
    </w:rPr>
  </w:style>
  <w:style w:type="paragraph" w:customStyle="1" w:styleId="24">
    <w:name w:val="FZ标题2"/>
    <w:basedOn w:val="3"/>
    <w:link w:val="23"/>
    <w:qFormat/>
    <w:uiPriority w:val="0"/>
    <w:pPr>
      <w:keepNext w:val="0"/>
      <w:keepLines w:val="0"/>
      <w:snapToGrid w:val="0"/>
      <w:spacing w:before="50" w:beforeLines="50" w:after="0" w:line="360" w:lineRule="auto"/>
      <w:ind w:left="1" w:leftChars="1" w:right="1" w:rightChars="1" w:firstLine="200" w:firstLineChars="200"/>
      <w:jc w:val="left"/>
    </w:pPr>
    <w:rPr>
      <w:rFonts w:ascii="宋体" w:hAnsi="宋体" w:eastAsia="方正黑体_GBK" w:cstheme="minorBidi"/>
      <w:color w:val="000000"/>
      <w:szCs w:val="44"/>
    </w:rPr>
  </w:style>
  <w:style w:type="character" w:customStyle="1" w:styleId="25">
    <w:name w:val="FZ标题3 字符"/>
    <w:basedOn w:val="15"/>
    <w:link w:val="26"/>
    <w:qFormat/>
    <w:locked/>
    <w:uiPriority w:val="0"/>
    <w:rPr>
      <w:rFonts w:eastAsia="方正楷体_GBK" w:cstheme="majorBidi"/>
      <w:b/>
      <w:bCs/>
      <w:color w:val="000000"/>
      <w:kern w:val="2"/>
      <w:sz w:val="32"/>
      <w:szCs w:val="32"/>
    </w:rPr>
  </w:style>
  <w:style w:type="paragraph" w:customStyle="1" w:styleId="26">
    <w:name w:val="FZ标题3"/>
    <w:basedOn w:val="4"/>
    <w:link w:val="25"/>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楷体_GBK" w:cstheme="majorBidi"/>
      <w:color w:val="000000"/>
    </w:rPr>
  </w:style>
  <w:style w:type="character" w:customStyle="1" w:styleId="27">
    <w:name w:val="FZ标题4 字符"/>
    <w:basedOn w:val="15"/>
    <w:link w:val="28"/>
    <w:qFormat/>
    <w:locked/>
    <w:uiPriority w:val="0"/>
    <w:rPr>
      <w:rFonts w:eastAsia="方正仿宋_GBK"/>
      <w:b/>
      <w:bCs/>
      <w:color w:val="000000"/>
      <w:kern w:val="2"/>
      <w:sz w:val="32"/>
      <w:szCs w:val="21"/>
    </w:rPr>
  </w:style>
  <w:style w:type="paragraph" w:customStyle="1" w:styleId="28">
    <w:name w:val="FZ标题4"/>
    <w:basedOn w:val="5"/>
    <w:link w:val="27"/>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character" w:customStyle="1" w:styleId="29">
    <w:name w:val="FZ标题5 字符"/>
    <w:basedOn w:val="15"/>
    <w:link w:val="30"/>
    <w:qFormat/>
    <w:locked/>
    <w:uiPriority w:val="0"/>
    <w:rPr>
      <w:rFonts w:hint="eastAsia" w:ascii="宋体" w:hAnsi="宋体" w:eastAsia="宋体" w:cstheme="majorBidi"/>
      <w:bCs/>
      <w:color w:val="000000"/>
      <w:szCs w:val="28"/>
    </w:rPr>
  </w:style>
  <w:style w:type="paragraph" w:customStyle="1" w:styleId="30">
    <w:name w:val="FZ标题5"/>
    <w:basedOn w:val="6"/>
    <w:link w:val="29"/>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宋体" w:cstheme="majorBidi"/>
      <w:b w:val="0"/>
      <w:color w:val="000000"/>
      <w:sz w:val="21"/>
    </w:rPr>
  </w:style>
  <w:style w:type="character" w:customStyle="1" w:styleId="31">
    <w:name w:val="标题 6 字符"/>
    <w:basedOn w:val="15"/>
    <w:link w:val="7"/>
    <w:semiHidden/>
    <w:qFormat/>
    <w:uiPriority w:val="9"/>
    <w:rPr>
      <w:rFonts w:asciiTheme="majorHAnsi" w:hAnsiTheme="majorHAnsi" w:eastAsiaTheme="majorEastAsia" w:cstheme="majorBidi"/>
      <w:b/>
      <w:bCs/>
      <w:kern w:val="2"/>
      <w:sz w:val="24"/>
      <w:szCs w:val="24"/>
    </w:rPr>
  </w:style>
  <w:style w:type="character" w:customStyle="1" w:styleId="32">
    <w:name w:val="FZ标题6 字符"/>
    <w:basedOn w:val="15"/>
    <w:link w:val="33"/>
    <w:qFormat/>
    <w:locked/>
    <w:uiPriority w:val="0"/>
    <w:rPr>
      <w:rFonts w:hint="eastAsia" w:ascii="宋体" w:hAnsi="宋体" w:eastAsia="宋体"/>
      <w:bCs/>
      <w:color w:val="000000"/>
      <w:szCs w:val="28"/>
    </w:rPr>
  </w:style>
  <w:style w:type="paragraph" w:customStyle="1" w:styleId="33">
    <w:name w:val="FZ标题6"/>
    <w:basedOn w:val="7"/>
    <w:link w:val="32"/>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宋体" w:cstheme="minorBidi"/>
      <w:b w:val="0"/>
      <w:color w:val="000000"/>
      <w:sz w:val="21"/>
      <w:szCs w:val="28"/>
    </w:rPr>
  </w:style>
  <w:style w:type="character" w:customStyle="1" w:styleId="34">
    <w:name w:val="FZ表格标题行首列 字符"/>
    <w:basedOn w:val="15"/>
    <w:link w:val="35"/>
    <w:qFormat/>
    <w:locked/>
    <w:uiPriority w:val="0"/>
    <w:rPr>
      <w:rFonts w:hint="eastAsia" w:ascii="宋体" w:hAnsi="宋体" w:eastAsia="宋体"/>
      <w:color w:val="000000"/>
      <w:sz w:val="18"/>
    </w:rPr>
  </w:style>
  <w:style w:type="paragraph" w:customStyle="1" w:styleId="35">
    <w:name w:val="FZ表格标题行首列"/>
    <w:basedOn w:val="1"/>
    <w:link w:val="34"/>
    <w:qFormat/>
    <w:uiPriority w:val="0"/>
    <w:pPr>
      <w:snapToGrid w:val="0"/>
      <w:spacing w:before="10" w:after="10"/>
      <w:ind w:left="1" w:leftChars="1" w:right="1" w:rightChars="1" w:firstLine="74" w:firstLineChars="50"/>
      <w:jc w:val="left"/>
    </w:pPr>
    <w:rPr>
      <w:rFonts w:ascii="宋体" w:hAnsi="宋体" w:eastAsia="宋体"/>
      <w:color w:val="000000"/>
      <w:sz w:val="18"/>
    </w:rPr>
  </w:style>
  <w:style w:type="character" w:customStyle="1" w:styleId="36">
    <w:name w:val="FZ表格标题行 字符"/>
    <w:basedOn w:val="15"/>
    <w:link w:val="37"/>
    <w:qFormat/>
    <w:locked/>
    <w:uiPriority w:val="0"/>
    <w:rPr>
      <w:rFonts w:hint="eastAsia" w:ascii="宋体" w:hAnsi="宋体" w:eastAsia="宋体"/>
      <w:color w:val="000000"/>
      <w:sz w:val="18"/>
    </w:rPr>
  </w:style>
  <w:style w:type="paragraph" w:customStyle="1" w:styleId="37">
    <w:name w:val="FZ表格标题行"/>
    <w:basedOn w:val="1"/>
    <w:link w:val="36"/>
    <w:qFormat/>
    <w:uiPriority w:val="0"/>
    <w:pPr>
      <w:snapToGrid w:val="0"/>
      <w:spacing w:before="10" w:after="10"/>
      <w:ind w:left="1" w:leftChars="1" w:right="1" w:rightChars="1" w:firstLine="74" w:firstLineChars="74"/>
      <w:jc w:val="center"/>
    </w:pPr>
    <w:rPr>
      <w:rFonts w:ascii="宋体" w:hAnsi="宋体" w:eastAsia="宋体"/>
      <w:color w:val="000000"/>
      <w:sz w:val="18"/>
    </w:rPr>
  </w:style>
  <w:style w:type="character" w:customStyle="1" w:styleId="38">
    <w:name w:val="FZ表格正文行首列 字符"/>
    <w:basedOn w:val="15"/>
    <w:link w:val="39"/>
    <w:qFormat/>
    <w:locked/>
    <w:uiPriority w:val="0"/>
    <w:rPr>
      <w:rFonts w:hint="eastAsia" w:ascii="宋体" w:hAnsi="宋体" w:eastAsia="宋体"/>
      <w:color w:val="000000"/>
      <w:sz w:val="18"/>
    </w:rPr>
  </w:style>
  <w:style w:type="paragraph" w:customStyle="1" w:styleId="39">
    <w:name w:val="FZ表格正文行首列"/>
    <w:basedOn w:val="1"/>
    <w:link w:val="38"/>
    <w:qFormat/>
    <w:uiPriority w:val="0"/>
    <w:pPr>
      <w:snapToGrid w:val="0"/>
      <w:spacing w:before="10" w:after="10"/>
      <w:ind w:left="1" w:leftChars="1" w:right="1" w:rightChars="1" w:firstLine="50" w:firstLineChars="50"/>
      <w:jc w:val="left"/>
    </w:pPr>
    <w:rPr>
      <w:rFonts w:ascii="宋体" w:hAnsi="宋体" w:eastAsia="宋体"/>
      <w:color w:val="000000"/>
      <w:sz w:val="18"/>
    </w:rPr>
  </w:style>
  <w:style w:type="character" w:customStyle="1" w:styleId="40">
    <w:name w:val="FZ表格正文行 字符"/>
    <w:basedOn w:val="15"/>
    <w:link w:val="41"/>
    <w:qFormat/>
    <w:locked/>
    <w:uiPriority w:val="0"/>
    <w:rPr>
      <w:rFonts w:hint="eastAsia" w:ascii="宋体" w:hAnsi="宋体" w:eastAsia="宋体"/>
      <w:color w:val="000000"/>
      <w:sz w:val="18"/>
    </w:rPr>
  </w:style>
  <w:style w:type="paragraph" w:customStyle="1" w:styleId="41">
    <w:name w:val="FZ表格正文行"/>
    <w:basedOn w:val="1"/>
    <w:link w:val="40"/>
    <w:qFormat/>
    <w:uiPriority w:val="0"/>
    <w:pPr>
      <w:snapToGrid w:val="0"/>
      <w:spacing w:before="10" w:after="10"/>
      <w:ind w:left="1" w:leftChars="1" w:right="1" w:rightChars="50" w:firstLine="74" w:firstLineChars="50"/>
      <w:jc w:val="right"/>
    </w:pPr>
    <w:rPr>
      <w:rFonts w:ascii="Times New Roman" w:hAnsi="Times New Roman" w:eastAsia="宋体"/>
      <w:color w:val="000000"/>
      <w:sz w:val="18"/>
    </w:rPr>
  </w:style>
  <w:style w:type="character" w:customStyle="1" w:styleId="42">
    <w:name w:val="FZ表格合计行首列 字符"/>
    <w:basedOn w:val="15"/>
    <w:link w:val="43"/>
    <w:qFormat/>
    <w:locked/>
    <w:uiPriority w:val="0"/>
    <w:rPr>
      <w:rFonts w:hint="eastAsia" w:ascii="宋体" w:hAnsi="宋体" w:eastAsia="宋体"/>
      <w:color w:val="000000"/>
      <w:sz w:val="18"/>
    </w:rPr>
  </w:style>
  <w:style w:type="paragraph" w:customStyle="1" w:styleId="43">
    <w:name w:val="FZ表格合计行首列"/>
    <w:basedOn w:val="1"/>
    <w:link w:val="42"/>
    <w:qFormat/>
    <w:uiPriority w:val="0"/>
    <w:pPr>
      <w:snapToGrid w:val="0"/>
      <w:spacing w:before="10" w:after="10"/>
      <w:ind w:left="1" w:leftChars="1" w:right="1" w:rightChars="1" w:firstLine="74" w:firstLineChars="74"/>
      <w:jc w:val="center"/>
    </w:pPr>
    <w:rPr>
      <w:rFonts w:ascii="宋体" w:hAnsi="宋体" w:eastAsia="宋体"/>
      <w:color w:val="000000"/>
      <w:sz w:val="18"/>
    </w:rPr>
  </w:style>
  <w:style w:type="character" w:customStyle="1" w:styleId="44">
    <w:name w:val="FZ表格合计行 字符"/>
    <w:basedOn w:val="15"/>
    <w:link w:val="45"/>
    <w:qFormat/>
    <w:locked/>
    <w:uiPriority w:val="0"/>
    <w:rPr>
      <w:rFonts w:hint="eastAsia" w:ascii="宋体" w:hAnsi="宋体" w:eastAsia="宋体"/>
      <w:color w:val="000000"/>
      <w:sz w:val="18"/>
    </w:rPr>
  </w:style>
  <w:style w:type="paragraph" w:customStyle="1" w:styleId="45">
    <w:name w:val="FZ表格合计行"/>
    <w:basedOn w:val="1"/>
    <w:link w:val="44"/>
    <w:qFormat/>
    <w:uiPriority w:val="0"/>
    <w:pPr>
      <w:snapToGrid w:val="0"/>
      <w:spacing w:before="10" w:after="10"/>
      <w:ind w:left="1" w:leftChars="1" w:right="1" w:rightChars="1" w:firstLine="74"/>
      <w:jc w:val="right"/>
    </w:pPr>
    <w:rPr>
      <w:rFonts w:ascii="Times New Roman" w:hAnsi="Times New Roman" w:eastAsia="宋体"/>
      <w:color w:val="000000"/>
      <w:sz w:val="18"/>
    </w:rPr>
  </w:style>
  <w:style w:type="character" w:customStyle="1" w:styleId="46">
    <w:name w:val="FZ正文 字符"/>
    <w:basedOn w:val="15"/>
    <w:link w:val="47"/>
    <w:qFormat/>
    <w:locked/>
    <w:uiPriority w:val="0"/>
    <w:rPr>
      <w:rFonts w:ascii="Times New Roman" w:hAnsi="Times New Roman" w:eastAsia="方正仿宋_GBK" w:cs="Times New Roman"/>
      <w:color w:val="000000"/>
      <w:kern w:val="2"/>
      <w:sz w:val="32"/>
      <w:szCs w:val="22"/>
    </w:rPr>
  </w:style>
  <w:style w:type="paragraph" w:customStyle="1" w:styleId="47">
    <w:name w:val="FZ正文"/>
    <w:basedOn w:val="1"/>
    <w:link w:val="46"/>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character" w:customStyle="1" w:styleId="48">
    <w:name w:val="FZ副标题 字符"/>
    <w:basedOn w:val="15"/>
    <w:link w:val="49"/>
    <w:qFormat/>
    <w:locked/>
    <w:uiPriority w:val="0"/>
    <w:rPr>
      <w:rFonts w:hint="eastAsia" w:ascii="宋体" w:hAnsi="宋体" w:eastAsia="宋体"/>
      <w:color w:val="000000"/>
    </w:rPr>
  </w:style>
  <w:style w:type="paragraph" w:customStyle="1" w:styleId="49">
    <w:name w:val="FZ副标题"/>
    <w:basedOn w:val="1"/>
    <w:link w:val="48"/>
    <w:qFormat/>
    <w:uiPriority w:val="0"/>
    <w:pPr>
      <w:snapToGrid w:val="0"/>
      <w:spacing w:beforeLines="50"/>
      <w:ind w:left="1" w:leftChars="1" w:right="1" w:rightChars="1" w:firstLine="1" w:firstLineChars="1"/>
      <w:jc w:val="center"/>
    </w:pPr>
    <w:rPr>
      <w:rFonts w:ascii="宋体" w:hAnsi="宋体" w:eastAsia="宋体"/>
      <w:color w:val="000000"/>
    </w:rPr>
  </w:style>
  <w:style w:type="character" w:customStyle="1" w:styleId="50">
    <w:name w:val="FZ落款 字符"/>
    <w:basedOn w:val="15"/>
    <w:link w:val="51"/>
    <w:qFormat/>
    <w:locked/>
    <w:uiPriority w:val="0"/>
    <w:rPr>
      <w:rFonts w:hint="eastAsia" w:ascii="宋体" w:hAnsi="宋体" w:eastAsia="宋体"/>
      <w:color w:val="000000"/>
    </w:rPr>
  </w:style>
  <w:style w:type="paragraph" w:customStyle="1" w:styleId="51">
    <w:name w:val="FZ落款"/>
    <w:basedOn w:val="1"/>
    <w:link w:val="50"/>
    <w:qFormat/>
    <w:uiPriority w:val="0"/>
    <w:pPr>
      <w:snapToGrid w:val="0"/>
      <w:spacing w:beforeLines="50" w:line="360" w:lineRule="auto"/>
      <w:ind w:left="1" w:leftChars="1" w:right="1" w:rightChars="1" w:firstLine="1500" w:firstLineChars="1500"/>
      <w:jc w:val="center"/>
    </w:pPr>
    <w:rPr>
      <w:rFonts w:ascii="宋体" w:hAnsi="宋体" w:eastAsia="宋体"/>
      <w:color w:val="000000"/>
    </w:rPr>
  </w:style>
  <w:style w:type="character" w:customStyle="1" w:styleId="52">
    <w:name w:val="FZ注释 字符"/>
    <w:basedOn w:val="15"/>
    <w:link w:val="53"/>
    <w:qFormat/>
    <w:locked/>
    <w:uiPriority w:val="0"/>
    <w:rPr>
      <w:rFonts w:hint="eastAsia" w:ascii="宋体" w:hAnsi="宋体" w:eastAsia="宋体"/>
      <w:color w:val="000000"/>
      <w:sz w:val="18"/>
    </w:rPr>
  </w:style>
  <w:style w:type="paragraph" w:customStyle="1" w:styleId="53">
    <w:name w:val="FZ注释"/>
    <w:basedOn w:val="1"/>
    <w:link w:val="52"/>
    <w:qFormat/>
    <w:uiPriority w:val="0"/>
    <w:pPr>
      <w:snapToGrid w:val="0"/>
      <w:spacing w:before="10" w:after="10"/>
      <w:ind w:left="1" w:leftChars="1" w:right="1" w:rightChars="1" w:firstLine="74" w:firstLineChars="74"/>
      <w:jc w:val="left"/>
    </w:pPr>
    <w:rPr>
      <w:rFonts w:ascii="宋体" w:hAnsi="宋体" w:eastAsia="宋体"/>
      <w:color w:val="000000"/>
      <w:sz w:val="18"/>
    </w:rPr>
  </w:style>
  <w:style w:type="character" w:customStyle="1" w:styleId="54">
    <w:name w:val="FZ小标题 字符"/>
    <w:basedOn w:val="15"/>
    <w:link w:val="55"/>
    <w:qFormat/>
    <w:locked/>
    <w:uiPriority w:val="0"/>
    <w:rPr>
      <w:rFonts w:hint="eastAsia" w:ascii="宋体" w:hAnsi="宋体" w:eastAsia="宋体"/>
      <w:color w:val="000000"/>
      <w:sz w:val="18"/>
    </w:rPr>
  </w:style>
  <w:style w:type="paragraph" w:customStyle="1" w:styleId="55">
    <w:name w:val="FZ小标题"/>
    <w:basedOn w:val="1"/>
    <w:link w:val="54"/>
    <w:qFormat/>
    <w:uiPriority w:val="0"/>
    <w:pPr>
      <w:snapToGrid w:val="0"/>
      <w:spacing w:before="10" w:after="10"/>
      <w:ind w:left="1" w:leftChars="1" w:right="1" w:rightChars="1" w:firstLine="74" w:firstLineChars="74"/>
      <w:jc w:val="left"/>
    </w:pPr>
    <w:rPr>
      <w:rFonts w:ascii="宋体" w:hAnsi="宋体" w:eastAsia="宋体"/>
      <w:color w:val="000000"/>
      <w:sz w:val="18"/>
    </w:rPr>
  </w:style>
  <w:style w:type="paragraph" w:customStyle="1" w:styleId="56">
    <w:name w:val="tbtd"/>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textAlignment w:val="center"/>
    </w:pPr>
    <w:rPr>
      <w:rFonts w:ascii="Times New Roman" w:hAnsi="Times New Roman" w:eastAsia="宋体" w:cs="Times New Roman"/>
      <w:color w:val="000000"/>
      <w:kern w:val="0"/>
      <w:sz w:val="18"/>
      <w:szCs w:val="18"/>
    </w:rPr>
  </w:style>
  <w:style w:type="character" w:customStyle="1" w:styleId="57">
    <w:name w:val="标题 7 字符"/>
    <w:basedOn w:val="15"/>
    <w:link w:val="8"/>
    <w:semiHidden/>
    <w:qFormat/>
    <w:uiPriority w:val="9"/>
    <w:rPr>
      <w:rFonts w:asciiTheme="minorHAnsi" w:hAnsiTheme="minorHAnsi" w:eastAsiaTheme="minorEastAsia"/>
      <w:b/>
      <w:bCs/>
      <w:kern w:val="2"/>
      <w:sz w:val="24"/>
      <w:szCs w:val="24"/>
    </w:rPr>
  </w:style>
  <w:style w:type="character" w:customStyle="1" w:styleId="58">
    <w:name w:val="标题 8 字符"/>
    <w:basedOn w:val="15"/>
    <w:link w:val="9"/>
    <w:semiHidden/>
    <w:qFormat/>
    <w:uiPriority w:val="9"/>
    <w:rPr>
      <w:rFonts w:asciiTheme="majorHAnsi" w:hAnsiTheme="majorHAnsi" w:eastAsiaTheme="majorEastAsia" w:cstheme="majorBidi"/>
      <w:kern w:val="2"/>
      <w:sz w:val="24"/>
      <w:szCs w:val="24"/>
    </w:rPr>
  </w:style>
  <w:style w:type="character" w:customStyle="1" w:styleId="59">
    <w:name w:val="标题 9 字符"/>
    <w:basedOn w:val="15"/>
    <w:link w:val="10"/>
    <w:semiHidden/>
    <w:qFormat/>
    <w:uiPriority w:val="9"/>
    <w:rPr>
      <w:rFonts w:asciiTheme="majorHAnsi" w:hAnsiTheme="majorHAnsi" w:eastAsiaTheme="majorEastAsia" w:cstheme="majorBidi"/>
      <w:kern w:val="2"/>
      <w:sz w:val="21"/>
      <w:szCs w:val="21"/>
    </w:rPr>
  </w:style>
  <w:style w:type="character" w:customStyle="1" w:styleId="60">
    <w:name w:val="页眉 字符"/>
    <w:basedOn w:val="15"/>
    <w:link w:val="12"/>
    <w:uiPriority w:val="99"/>
    <w:rPr>
      <w:rFonts w:asciiTheme="minorHAnsi" w:hAnsiTheme="minorHAnsi" w:eastAsiaTheme="minorEastAsia"/>
      <w:kern w:val="2"/>
      <w:sz w:val="18"/>
      <w:szCs w:val="18"/>
    </w:rPr>
  </w:style>
  <w:style w:type="character" w:customStyle="1" w:styleId="61">
    <w:name w:val="页脚 字符"/>
    <w:basedOn w:val="15"/>
    <w:link w:val="11"/>
    <w:uiPriority w:val="99"/>
    <w:rPr>
      <w:rFonts w:asciiTheme="minorHAnsi" w:hAnsiTheme="minorHAnsi" w:eastAsiaTheme="minorEastAsia"/>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4393</Words>
  <Characters>4823</Characters>
  <Lines>34</Lines>
  <Paragraphs>9</Paragraphs>
  <TotalTime>21</TotalTime>
  <ScaleCrop>false</ScaleCrop>
  <LinksUpToDate>false</LinksUpToDate>
  <CharactersWithSpaces>4826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2022-03-20T19:16:00Z</dcterms:created>
  <dc:creator>Xueyang</dc:creator>
  <cp:lastModifiedBy>姗姗</cp:lastModifiedBy>
  <dcterms:modified xsi:type="dcterms:W3CDTF">2023-05-15T04:00:53Z</dcterms:modified>
  <dc:title>D:\桌面\318韩\20.莎车县戈壁产业园连栋大棚建设项目自评报告.xlsx</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FBD645578B914609A41F780125A9783F</vt:lpwstr>
  </property>
</Properties>
</file>